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45C49" w14:textId="00693146" w:rsidR="004C0841" w:rsidRDefault="00181BDB">
      <w:pPr>
        <w:jc w:val="center"/>
        <w:rPr>
          <w:rFonts w:ascii="Cambria Math" w:eastAsia="Times New Roman" w:hAnsi="Cambria Math"/>
          <w:color w:val="4F81BD"/>
          <w:sz w:val="16"/>
          <w:szCs w:val="16"/>
        </w:rPr>
      </w:pPr>
      <w:bookmarkStart w:id="0" w:name="_heading=h.1fob9te" w:colFirst="0" w:colLast="0"/>
      <w:bookmarkEnd w:id="0"/>
      <w:r>
        <w:rPr>
          <w:rFonts w:ascii="Cambria Math" w:eastAsia="Times New Roman" w:hAnsi="Cambria Math"/>
          <w:color w:val="4F81BD"/>
          <w:sz w:val="16"/>
          <w:szCs w:val="16"/>
        </w:rPr>
        <w:t xml:space="preserve">Journal of Economic Development and Village Building, Vol. </w:t>
      </w:r>
      <w:r w:rsidR="004F7013">
        <w:rPr>
          <w:rFonts w:ascii="Cambria Math" w:eastAsia="Times New Roman" w:hAnsi="Cambria Math"/>
          <w:color w:val="4F81BD"/>
          <w:sz w:val="16"/>
          <w:szCs w:val="16"/>
          <w:lang w:val="en-US"/>
        </w:rPr>
        <w:t>3</w:t>
      </w:r>
      <w:r>
        <w:rPr>
          <w:rFonts w:ascii="Cambria Math" w:eastAsia="Times New Roman" w:hAnsi="Cambria Math"/>
          <w:color w:val="4F81BD"/>
          <w:sz w:val="16"/>
          <w:szCs w:val="16"/>
        </w:rPr>
        <w:t xml:space="preserve"> No. </w:t>
      </w:r>
      <w:r w:rsidR="004F7013">
        <w:rPr>
          <w:rFonts w:ascii="Cambria Math" w:eastAsia="Times New Roman" w:hAnsi="Cambria Math"/>
          <w:color w:val="4F81BD"/>
          <w:sz w:val="16"/>
          <w:szCs w:val="16"/>
          <w:lang w:val="en-US"/>
        </w:rPr>
        <w:t>1</w:t>
      </w:r>
      <w:r>
        <w:rPr>
          <w:rFonts w:ascii="Cambria Math" w:eastAsia="Times New Roman" w:hAnsi="Cambria Math"/>
          <w:color w:val="4F81BD"/>
          <w:sz w:val="16"/>
          <w:szCs w:val="16"/>
        </w:rPr>
        <w:t xml:space="preserve"> </w:t>
      </w:r>
      <w:r w:rsidR="004F7013">
        <w:rPr>
          <w:rFonts w:ascii="Cambria Math" w:eastAsia="Times New Roman" w:hAnsi="Cambria Math"/>
          <w:color w:val="4F81BD"/>
          <w:sz w:val="16"/>
          <w:szCs w:val="16"/>
          <w:lang w:val="en-US"/>
        </w:rPr>
        <w:t>January</w:t>
      </w:r>
      <w:r>
        <w:rPr>
          <w:rFonts w:ascii="Cambria Math" w:eastAsia="Times New Roman" w:hAnsi="Cambria Math"/>
          <w:color w:val="4F81BD"/>
          <w:sz w:val="16"/>
          <w:szCs w:val="16"/>
        </w:rPr>
        <w:t xml:space="preserve"> 2025, E-ISSN: 2986-4666</w:t>
      </w:r>
    </w:p>
    <w:p w14:paraId="659557C6" w14:textId="77777777" w:rsidR="004C0841" w:rsidRDefault="00181BDB">
      <w:pPr>
        <w:jc w:val="left"/>
        <w:rPr>
          <w:rFonts w:ascii="Times New Roman" w:eastAsia="Times New Roman"/>
          <w:b/>
          <w:sz w:val="24"/>
          <w:szCs w:val="24"/>
        </w:rPr>
      </w:pPr>
      <w:r>
        <w:rPr>
          <w:rFonts w:ascii="Times New Roman" w:eastAsia="Times New Roman"/>
          <w:b/>
          <w:noProof/>
        </w:rPr>
        <w:drawing>
          <wp:inline distT="0" distB="0" distL="0" distR="0" wp14:anchorId="4ADD0420" wp14:editId="1BF40C21">
            <wp:extent cx="5431155" cy="835025"/>
            <wp:effectExtent l="0" t="0" r="0" b="0"/>
            <wp:docPr id="2112404773" name="image1.jpg" descr="Sebuah gambar berisi teks&#10;&#10;Deskripsi dibuat secara otomatis"/>
            <wp:cNvGraphicFramePr/>
            <a:graphic xmlns:a="http://schemas.openxmlformats.org/drawingml/2006/main">
              <a:graphicData uri="http://schemas.openxmlformats.org/drawingml/2006/picture">
                <pic:pic xmlns:pic="http://schemas.openxmlformats.org/drawingml/2006/picture">
                  <pic:nvPicPr>
                    <pic:cNvPr id="2112404773" name="image1.jpg" descr="Sebuah gambar berisi teks&#10;&#10;Deskripsi dibuat secara otomatis"/>
                    <pic:cNvPicPr preferRelativeResize="0"/>
                  </pic:nvPicPr>
                  <pic:blipFill>
                    <a:blip r:embed="rId9"/>
                    <a:srcRect/>
                    <a:stretch>
                      <a:fillRect/>
                    </a:stretch>
                  </pic:blipFill>
                  <pic:spPr>
                    <a:xfrm>
                      <a:off x="0" y="0"/>
                      <a:ext cx="5431155" cy="835025"/>
                    </a:xfrm>
                    <a:prstGeom prst="rect">
                      <a:avLst/>
                    </a:prstGeom>
                  </pic:spPr>
                </pic:pic>
              </a:graphicData>
            </a:graphic>
          </wp:inline>
        </w:drawing>
      </w:r>
    </w:p>
    <w:p w14:paraId="2D553F7E" w14:textId="77777777" w:rsidR="004C0841" w:rsidRDefault="00181BDB">
      <w:pPr>
        <w:jc w:val="left"/>
        <w:rPr>
          <w:rFonts w:ascii="Times New Roman" w:eastAsia="Times New Roman"/>
          <w:b/>
          <w:sz w:val="24"/>
          <w:szCs w:val="24"/>
        </w:rPr>
      </w:pPr>
      <w:r>
        <w:rPr>
          <w:rFonts w:ascii="Times New Roman" w:eastAsia="Times New Roman"/>
          <w:b/>
        </w:rPr>
        <w:t xml:space="preserve"> </w:t>
      </w:r>
    </w:p>
    <w:p w14:paraId="3DB5C77B" w14:textId="01B29879" w:rsidR="008D16E1" w:rsidRDefault="00181BDB" w:rsidP="008D16E1">
      <w:pPr>
        <w:jc w:val="center"/>
        <w:rPr>
          <w:rFonts w:ascii="Times New Roman" w:eastAsia="Times New Roman"/>
          <w:b/>
          <w:sz w:val="24"/>
          <w:szCs w:val="24"/>
        </w:rPr>
      </w:pPr>
      <w:r w:rsidRPr="008D16E1">
        <w:rPr>
          <w:rFonts w:ascii="Times New Roman" w:eastAsia="Times New Roman"/>
          <w:b/>
          <w:sz w:val="24"/>
          <w:szCs w:val="24"/>
        </w:rPr>
        <w:t>AI-DRIVEN VILLAGE PLANNING: PREDICTIVE MODELS FOR ENHANCING RURAL ECONOMIC RESILIENCE IN EMERGING REGIONS</w:t>
      </w:r>
    </w:p>
    <w:p w14:paraId="1F159BE0" w14:textId="77777777" w:rsidR="008D16E1" w:rsidRDefault="008D16E1" w:rsidP="008D16E1">
      <w:pPr>
        <w:jc w:val="center"/>
        <w:rPr>
          <w:rFonts w:ascii="Times New Roman" w:eastAsia="Times New Roman"/>
          <w:b/>
          <w:sz w:val="24"/>
          <w:szCs w:val="24"/>
        </w:rPr>
      </w:pPr>
    </w:p>
    <w:p w14:paraId="5923A7BF" w14:textId="3AE66004" w:rsidR="008D16E1" w:rsidRDefault="008D16E1" w:rsidP="008D16E1">
      <w:pPr>
        <w:jc w:val="center"/>
        <w:rPr>
          <w:rFonts w:ascii="Times New Roman" w:eastAsia="Times New Roman"/>
          <w:b/>
          <w:sz w:val="24"/>
          <w:szCs w:val="24"/>
        </w:rPr>
      </w:pPr>
      <w:r w:rsidRPr="008D16E1">
        <w:rPr>
          <w:rFonts w:ascii="Times New Roman" w:eastAsia="Times New Roman"/>
          <w:b/>
          <w:sz w:val="24"/>
          <w:szCs w:val="24"/>
        </w:rPr>
        <w:t xml:space="preserve">Pegi Sugiartini </w:t>
      </w:r>
    </w:p>
    <w:p w14:paraId="61EAF49F" w14:textId="3B3F5335" w:rsidR="008D16E1" w:rsidRDefault="008D16E1" w:rsidP="008D16E1">
      <w:pPr>
        <w:jc w:val="center"/>
        <w:rPr>
          <w:rFonts w:ascii="Times New Roman" w:eastAsia="Times New Roman"/>
          <w:bCs/>
          <w:sz w:val="24"/>
          <w:szCs w:val="24"/>
        </w:rPr>
      </w:pPr>
      <w:r w:rsidRPr="008D16E1">
        <w:rPr>
          <w:rFonts w:ascii="Times New Roman" w:eastAsia="Times New Roman"/>
          <w:bCs/>
          <w:sz w:val="24"/>
          <w:szCs w:val="24"/>
        </w:rPr>
        <w:t>Universitas Muhammadiyah Cirebon</w:t>
      </w:r>
      <w:r>
        <w:rPr>
          <w:rFonts w:ascii="Times New Roman" w:eastAsia="Times New Roman"/>
          <w:bCs/>
          <w:sz w:val="24"/>
          <w:szCs w:val="24"/>
        </w:rPr>
        <w:t>, Indonesia</w:t>
      </w:r>
    </w:p>
    <w:p w14:paraId="440B13B6" w14:textId="1878AD54" w:rsidR="004C0841" w:rsidRPr="008D16E1" w:rsidRDefault="00D2152B" w:rsidP="008D16E1">
      <w:pPr>
        <w:jc w:val="center"/>
        <w:rPr>
          <w:rFonts w:ascii="Times New Roman" w:eastAsia="Times New Roman"/>
          <w:bCs/>
          <w:sz w:val="24"/>
          <w:szCs w:val="24"/>
        </w:rPr>
      </w:pPr>
      <w:proofErr w:type="gramStart"/>
      <w:r>
        <w:rPr>
          <w:rFonts w:ascii="Times New Roman" w:eastAsia="Times New Roman"/>
          <w:bCs/>
          <w:sz w:val="24"/>
          <w:szCs w:val="24"/>
          <w:lang w:val="en-US"/>
        </w:rPr>
        <w:t>Email :</w:t>
      </w:r>
      <w:proofErr w:type="gramEnd"/>
      <w:r>
        <w:rPr>
          <w:rFonts w:ascii="Times New Roman" w:eastAsia="Times New Roman"/>
          <w:bCs/>
          <w:sz w:val="24"/>
          <w:szCs w:val="24"/>
          <w:lang w:val="en-US"/>
        </w:rPr>
        <w:t xml:space="preserve"> </w:t>
      </w:r>
      <w:r w:rsidR="008D16E1" w:rsidRPr="008D16E1">
        <w:rPr>
          <w:rFonts w:ascii="Times New Roman" w:eastAsia="Times New Roman"/>
          <w:bCs/>
          <w:sz w:val="24"/>
          <w:szCs w:val="24"/>
        </w:rPr>
        <w:t>pegisugiartini@gmail.com</w:t>
      </w:r>
    </w:p>
    <w:p w14:paraId="087FA16F" w14:textId="77777777" w:rsidR="004C0841" w:rsidRDefault="00181BDB">
      <w:pPr>
        <w:jc w:val="center"/>
        <w:rPr>
          <w:rFonts w:ascii="Times New Roman" w:eastAsia="Times New Roman"/>
          <w:i/>
          <w:sz w:val="24"/>
          <w:szCs w:val="24"/>
        </w:rPr>
      </w:pPr>
      <w:r>
        <w:rPr>
          <w:noProof/>
        </w:rPr>
        <mc:AlternateContent>
          <mc:Choice Requires="wps">
            <w:drawing>
              <wp:anchor distT="0" distB="0" distL="0" distR="0" simplePos="0" relativeHeight="251659264" behindDoc="0" locked="0" layoutInCell="1" allowOverlap="1" wp14:anchorId="7C8212EB" wp14:editId="251CC5C5">
                <wp:simplePos x="0" y="0"/>
                <wp:positionH relativeFrom="column">
                  <wp:posOffset>-1180465</wp:posOffset>
                </wp:positionH>
                <wp:positionV relativeFrom="paragraph">
                  <wp:posOffset>139700</wp:posOffset>
                </wp:positionV>
                <wp:extent cx="7721600" cy="448310"/>
                <wp:effectExtent l="0" t="0" r="0" b="0"/>
                <wp:wrapNone/>
                <wp:docPr id="2112404772" name="Rectangle 2112404772"/>
                <wp:cNvGraphicFramePr/>
                <a:graphic xmlns:a="http://schemas.openxmlformats.org/drawingml/2006/main">
                  <a:graphicData uri="http://schemas.microsoft.com/office/word/2010/wordprocessingShape">
                    <wps:wsp>
                      <wps:cNvSpPr/>
                      <wps:spPr>
                        <a:xfrm>
                          <a:off x="1497900" y="3568546"/>
                          <a:ext cx="7696200" cy="422909"/>
                        </a:xfrm>
                        <a:prstGeom prst="rect">
                          <a:avLst/>
                        </a:prstGeom>
                        <a:solidFill>
                          <a:srgbClr val="FFFFFF"/>
                        </a:solidFill>
                        <a:ln w="25400" cap="flat" cmpd="sng">
                          <a:solidFill>
                            <a:srgbClr val="4F81BD"/>
                          </a:solidFill>
                          <a:prstDash val="solid"/>
                          <a:round/>
                          <a:headEnd type="none" w="sm" len="sm"/>
                          <a:tailEnd type="none" w="sm" len="sm"/>
                        </a:ln>
                      </wps:spPr>
                      <wps:txbx>
                        <w:txbxContent>
                          <w:p w14:paraId="0928F727" w14:textId="39314E61" w:rsidR="004C0841" w:rsidRDefault="004F7013">
                            <w:pPr>
                              <w:jc w:val="center"/>
                              <w:rPr>
                                <w:rFonts w:ascii="Cambria Math" w:hAnsi="Cambria Math"/>
                              </w:rPr>
                            </w:pPr>
                            <w:proofErr w:type="spellStart"/>
                            <w:r w:rsidRPr="0051639E">
                              <w:rPr>
                                <w:rFonts w:ascii="Cambria Math" w:eastAsia="Times New Roman" w:hAnsi="Cambria Math"/>
                                <w:sz w:val="20"/>
                              </w:rPr>
                              <w:t>Article</w:t>
                            </w:r>
                            <w:proofErr w:type="spellEnd"/>
                            <w:r w:rsidRPr="0051639E">
                              <w:rPr>
                                <w:rFonts w:ascii="Cambria Math" w:eastAsia="Times New Roman" w:hAnsi="Cambria Math"/>
                                <w:sz w:val="20"/>
                              </w:rPr>
                              <w:t xml:space="preserve"> </w:t>
                            </w:r>
                            <w:proofErr w:type="spellStart"/>
                            <w:r w:rsidRPr="0051639E">
                              <w:rPr>
                                <w:rFonts w:ascii="Cambria Math" w:eastAsia="Times New Roman" w:hAnsi="Cambria Math"/>
                                <w:sz w:val="20"/>
                              </w:rPr>
                              <w:t>received</w:t>
                            </w:r>
                            <w:proofErr w:type="spellEnd"/>
                            <w:r w:rsidRPr="0051639E">
                              <w:rPr>
                                <w:rFonts w:ascii="Cambria Math" w:eastAsia="Times New Roman" w:hAnsi="Cambria Math"/>
                                <w:sz w:val="20"/>
                              </w:rPr>
                              <w:t xml:space="preserve"> </w:t>
                            </w:r>
                            <w:proofErr w:type="spellStart"/>
                            <w:r w:rsidRPr="0051639E">
                              <w:rPr>
                                <w:rFonts w:ascii="Cambria Math" w:eastAsia="Times New Roman" w:hAnsi="Cambria Math"/>
                                <w:sz w:val="20"/>
                              </w:rPr>
                              <w:t>on</w:t>
                            </w:r>
                            <w:proofErr w:type="spellEnd"/>
                            <w:r w:rsidRPr="0051639E">
                              <w:rPr>
                                <w:rFonts w:ascii="Cambria Math" w:eastAsia="Times New Roman" w:hAnsi="Cambria Math"/>
                                <w:sz w:val="20"/>
                              </w:rPr>
                              <w:t xml:space="preserve"> October2024—Final </w:t>
                            </w:r>
                            <w:proofErr w:type="spellStart"/>
                            <w:r w:rsidRPr="0051639E">
                              <w:rPr>
                                <w:rFonts w:ascii="Cambria Math" w:eastAsia="Times New Roman" w:hAnsi="Cambria Math"/>
                                <w:sz w:val="20"/>
                              </w:rPr>
                              <w:t>revised</w:t>
                            </w:r>
                            <w:proofErr w:type="spellEnd"/>
                            <w:r w:rsidRPr="0051639E">
                              <w:rPr>
                                <w:rFonts w:ascii="Cambria Math" w:eastAsia="Times New Roman" w:hAnsi="Cambria Math"/>
                                <w:sz w:val="20"/>
                              </w:rPr>
                              <w:t xml:space="preserve"> </w:t>
                            </w:r>
                            <w:proofErr w:type="spellStart"/>
                            <w:r w:rsidRPr="0051639E">
                              <w:rPr>
                                <w:rFonts w:ascii="Cambria Math" w:eastAsia="Times New Roman" w:hAnsi="Cambria Math"/>
                                <w:sz w:val="20"/>
                              </w:rPr>
                              <w:t>on</w:t>
                            </w:r>
                            <w:proofErr w:type="spellEnd"/>
                            <w:r w:rsidRPr="0051639E">
                              <w:rPr>
                                <w:rFonts w:ascii="Cambria Math" w:eastAsia="Times New Roman" w:hAnsi="Cambria Math"/>
                                <w:sz w:val="20"/>
                              </w:rPr>
                              <w:t xml:space="preserve"> December2024—</w:t>
                            </w:r>
                            <w:proofErr w:type="spellStart"/>
                            <w:r w:rsidRPr="0051639E">
                              <w:rPr>
                                <w:rFonts w:ascii="Cambria Math" w:eastAsia="Times New Roman" w:hAnsi="Cambria Math"/>
                                <w:sz w:val="20"/>
                              </w:rPr>
                              <w:t>Approved</w:t>
                            </w:r>
                            <w:proofErr w:type="spellEnd"/>
                            <w:r w:rsidRPr="0051639E">
                              <w:rPr>
                                <w:rFonts w:ascii="Cambria Math" w:eastAsia="Times New Roman" w:hAnsi="Cambria Math"/>
                                <w:sz w:val="20"/>
                              </w:rPr>
                              <w:t xml:space="preserve"> </w:t>
                            </w:r>
                            <w:proofErr w:type="spellStart"/>
                            <w:r w:rsidRPr="0051639E">
                              <w:rPr>
                                <w:rFonts w:ascii="Cambria Math" w:eastAsia="Times New Roman" w:hAnsi="Cambria Math"/>
                                <w:sz w:val="20"/>
                              </w:rPr>
                              <w:t>on</w:t>
                            </w:r>
                            <w:proofErr w:type="spellEnd"/>
                            <w:r w:rsidRPr="0051639E">
                              <w:rPr>
                                <w:rFonts w:ascii="Cambria Math" w:eastAsia="Times New Roman" w:hAnsi="Cambria Math"/>
                                <w:sz w:val="20"/>
                              </w:rPr>
                              <w:t xml:space="preserve"> January2025</w:t>
                            </w:r>
                          </w:p>
                        </w:txbxContent>
                      </wps:txbx>
                      <wps:bodyPr spcFirstLastPara="1" wrap="square" lIns="91425" tIns="45700" rIns="91425" bIns="45700" anchor="t" anchorCtr="0">
                        <a:noAutofit/>
                      </wps:bodyPr>
                    </wps:wsp>
                  </a:graphicData>
                </a:graphic>
              </wp:anchor>
            </w:drawing>
          </mc:Choice>
          <mc:Fallback>
            <w:pict>
              <v:rect w14:anchorId="7C8212EB" id="Rectangle 2112404772" o:spid="_x0000_s1026" style="position:absolute;left:0;text-align:left;margin-left:-92.95pt;margin-top:11pt;width:608pt;height:35.3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" strokecolor="#4f81bd" strokeweight="2pt">
                <v:stroke startarrowwidth="narrow" startarrowlength="short" endarrowwidth="narrow" endarrowlength="short" joinstyle="round"/>
                <v:textbox inset="2.53958mm,1.2694mm,2.53958mm,1.2694mm">
                  <w:txbxContent>
                    <w:p w14:paraId="0928F727" w14:textId="39314E61" w:rsidR="004C0841" w:rsidRDefault="004F7013">
                      <w:pPr>
                        <w:jc w:val="center"/>
                        <w:rPr>
                          <w:rFonts w:ascii="Cambria Math" w:hAnsi="Cambria Math"/>
                        </w:rPr>
                      </w:pPr>
                      <w:proofErr w:type="spellStart"/>
                      <w:r w:rsidRPr="0051639E">
                        <w:rPr>
                          <w:rFonts w:ascii="Cambria Math" w:eastAsia="Times New Roman" w:hAnsi="Cambria Math"/>
                          <w:sz w:val="20"/>
                        </w:rPr>
                        <w:t>Article</w:t>
                      </w:r>
                      <w:proofErr w:type="spellEnd"/>
                      <w:r w:rsidRPr="0051639E">
                        <w:rPr>
                          <w:rFonts w:ascii="Cambria Math" w:eastAsia="Times New Roman" w:hAnsi="Cambria Math"/>
                          <w:sz w:val="20"/>
                        </w:rPr>
                        <w:t xml:space="preserve"> </w:t>
                      </w:r>
                      <w:proofErr w:type="spellStart"/>
                      <w:r w:rsidRPr="0051639E">
                        <w:rPr>
                          <w:rFonts w:ascii="Cambria Math" w:eastAsia="Times New Roman" w:hAnsi="Cambria Math"/>
                          <w:sz w:val="20"/>
                        </w:rPr>
                        <w:t>received</w:t>
                      </w:r>
                      <w:proofErr w:type="spellEnd"/>
                      <w:r w:rsidRPr="0051639E">
                        <w:rPr>
                          <w:rFonts w:ascii="Cambria Math" w:eastAsia="Times New Roman" w:hAnsi="Cambria Math"/>
                          <w:sz w:val="20"/>
                        </w:rPr>
                        <w:t xml:space="preserve"> </w:t>
                      </w:r>
                      <w:proofErr w:type="spellStart"/>
                      <w:r w:rsidRPr="0051639E">
                        <w:rPr>
                          <w:rFonts w:ascii="Cambria Math" w:eastAsia="Times New Roman" w:hAnsi="Cambria Math"/>
                          <w:sz w:val="20"/>
                        </w:rPr>
                        <w:t>on</w:t>
                      </w:r>
                      <w:proofErr w:type="spellEnd"/>
                      <w:r w:rsidRPr="0051639E">
                        <w:rPr>
                          <w:rFonts w:ascii="Cambria Math" w:eastAsia="Times New Roman" w:hAnsi="Cambria Math"/>
                          <w:sz w:val="20"/>
                        </w:rPr>
                        <w:t xml:space="preserve"> October2024—Final </w:t>
                      </w:r>
                      <w:proofErr w:type="spellStart"/>
                      <w:r w:rsidRPr="0051639E">
                        <w:rPr>
                          <w:rFonts w:ascii="Cambria Math" w:eastAsia="Times New Roman" w:hAnsi="Cambria Math"/>
                          <w:sz w:val="20"/>
                        </w:rPr>
                        <w:t>revised</w:t>
                      </w:r>
                      <w:proofErr w:type="spellEnd"/>
                      <w:r w:rsidRPr="0051639E">
                        <w:rPr>
                          <w:rFonts w:ascii="Cambria Math" w:eastAsia="Times New Roman" w:hAnsi="Cambria Math"/>
                          <w:sz w:val="20"/>
                        </w:rPr>
                        <w:t xml:space="preserve"> </w:t>
                      </w:r>
                      <w:proofErr w:type="spellStart"/>
                      <w:r w:rsidRPr="0051639E">
                        <w:rPr>
                          <w:rFonts w:ascii="Cambria Math" w:eastAsia="Times New Roman" w:hAnsi="Cambria Math"/>
                          <w:sz w:val="20"/>
                        </w:rPr>
                        <w:t>on</w:t>
                      </w:r>
                      <w:proofErr w:type="spellEnd"/>
                      <w:r w:rsidRPr="0051639E">
                        <w:rPr>
                          <w:rFonts w:ascii="Cambria Math" w:eastAsia="Times New Roman" w:hAnsi="Cambria Math"/>
                          <w:sz w:val="20"/>
                        </w:rPr>
                        <w:t xml:space="preserve"> December2024—</w:t>
                      </w:r>
                      <w:proofErr w:type="spellStart"/>
                      <w:r w:rsidRPr="0051639E">
                        <w:rPr>
                          <w:rFonts w:ascii="Cambria Math" w:eastAsia="Times New Roman" w:hAnsi="Cambria Math"/>
                          <w:sz w:val="20"/>
                        </w:rPr>
                        <w:t>Approved</w:t>
                      </w:r>
                      <w:proofErr w:type="spellEnd"/>
                      <w:r w:rsidRPr="0051639E">
                        <w:rPr>
                          <w:rFonts w:ascii="Cambria Math" w:eastAsia="Times New Roman" w:hAnsi="Cambria Math"/>
                          <w:sz w:val="20"/>
                        </w:rPr>
                        <w:t xml:space="preserve"> </w:t>
                      </w:r>
                      <w:proofErr w:type="spellStart"/>
                      <w:r w:rsidRPr="0051639E">
                        <w:rPr>
                          <w:rFonts w:ascii="Cambria Math" w:eastAsia="Times New Roman" w:hAnsi="Cambria Math"/>
                          <w:sz w:val="20"/>
                        </w:rPr>
                        <w:t>on</w:t>
                      </w:r>
                      <w:proofErr w:type="spellEnd"/>
                      <w:r w:rsidRPr="0051639E">
                        <w:rPr>
                          <w:rFonts w:ascii="Cambria Math" w:eastAsia="Times New Roman" w:hAnsi="Cambria Math"/>
                          <w:sz w:val="20"/>
                        </w:rPr>
                        <w:t xml:space="preserve"> January2025</w:t>
                      </w:r>
                    </w:p>
                  </w:txbxContent>
                </v:textbox>
              </v:rect>
            </w:pict>
          </mc:Fallback>
        </mc:AlternateContent>
      </w:r>
    </w:p>
    <w:p w14:paraId="7C4604CA" w14:textId="77777777" w:rsidR="004C0841" w:rsidRDefault="004C0841">
      <w:pPr>
        <w:rPr>
          <w:rFonts w:ascii="Times New Roman" w:eastAsia="Times New Roman"/>
          <w:b/>
          <w:i/>
          <w:sz w:val="24"/>
          <w:szCs w:val="24"/>
        </w:rPr>
      </w:pPr>
    </w:p>
    <w:p w14:paraId="2532C401" w14:textId="77777777" w:rsidR="004C0841" w:rsidRDefault="004C0841">
      <w:pPr>
        <w:ind w:right="-49"/>
        <w:rPr>
          <w:rFonts w:ascii="Times New Roman" w:eastAsia="Times New Roman"/>
          <w:sz w:val="24"/>
          <w:szCs w:val="24"/>
        </w:rPr>
      </w:pPr>
    </w:p>
    <w:p w14:paraId="34303939" w14:textId="77777777" w:rsidR="008D16E1" w:rsidRDefault="008D16E1">
      <w:pPr>
        <w:jc w:val="center"/>
        <w:rPr>
          <w:rFonts w:ascii="Cambria Math" w:eastAsia="Times New Roman" w:hAnsi="Cambria Math"/>
          <w:b/>
          <w:iCs/>
          <w:highlight w:val="yellow"/>
        </w:rPr>
      </w:pPr>
    </w:p>
    <w:p w14:paraId="59D6276C" w14:textId="3910223D" w:rsidR="004C0841" w:rsidRPr="008D16E1" w:rsidRDefault="00181BDB" w:rsidP="008D16E1">
      <w:pPr>
        <w:jc w:val="center"/>
        <w:rPr>
          <w:rFonts w:ascii="Times New Roman" w:eastAsia="Times New Roman"/>
          <w:b/>
          <w:i/>
        </w:rPr>
      </w:pPr>
      <w:r w:rsidRPr="008D16E1">
        <w:rPr>
          <w:rFonts w:ascii="Times New Roman" w:eastAsia="Times New Roman"/>
          <w:b/>
          <w:i/>
        </w:rPr>
        <w:t>Abstract</w:t>
      </w:r>
    </w:p>
    <w:p w14:paraId="7E5C4C1E" w14:textId="29C2EAE4" w:rsidR="00641CD4" w:rsidRPr="008D16E1" w:rsidRDefault="0041394E" w:rsidP="008D16E1">
      <w:pPr>
        <w:ind w:hanging="2"/>
        <w:rPr>
          <w:rFonts w:ascii="Times New Roman"/>
          <w:lang w:val="en-US"/>
        </w:rPr>
      </w:pPr>
      <w:r w:rsidRPr="008D16E1">
        <w:rPr>
          <w:rFonts w:ascii="Times New Roman"/>
          <w:lang w:val="zh-CN"/>
        </w:rPr>
        <w:t>Rural communities in emerging regions face mounting challenges</w:t>
      </w:r>
      <w:r w:rsidR="008D16E1">
        <w:rPr>
          <w:rFonts w:ascii="Times New Roman"/>
          <w:lang w:val="zh-CN"/>
        </w:rPr>
        <w:t>,</w:t>
      </w:r>
      <w:r w:rsidRPr="008D16E1">
        <w:rPr>
          <w:rFonts w:ascii="Times New Roman"/>
          <w:lang w:val="zh-CN"/>
        </w:rPr>
        <w:t xml:space="preserve"> including economic volatility, climate variability, and limited </w:t>
      </w:r>
      <w:r w:rsidR="00C23D9E">
        <w:rPr>
          <w:rFonts w:ascii="Times New Roman"/>
          <w:lang w:val="zh-CN"/>
        </w:rPr>
        <w:t>access to infrastructure</w:t>
      </w:r>
      <w:r w:rsidR="00B31FEC">
        <w:rPr>
          <w:rFonts w:ascii="Times New Roman"/>
          <w:lang w:val="zh-CN"/>
        </w:rPr>
        <w:t xml:space="preserve">. </w:t>
      </w:r>
      <w:r w:rsidR="00A621DD">
        <w:rPr>
          <w:rFonts w:ascii="Times New Roman"/>
          <w:lang w:val="zh-CN"/>
        </w:rPr>
        <w:t>However</w:t>
      </w:r>
      <w:r w:rsidR="00B31FEC">
        <w:rPr>
          <w:rFonts w:ascii="Times New Roman"/>
          <w:lang w:val="zh-CN"/>
        </w:rPr>
        <w:t>, traditional</w:t>
      </w:r>
      <w:r w:rsidR="00C23D9E">
        <w:rPr>
          <w:rFonts w:ascii="Times New Roman"/>
          <w:lang w:val="zh-CN"/>
        </w:rPr>
        <w:t xml:space="preserve"> planning approaches often rely on intuition-based priority-setting</w:t>
      </w:r>
      <w:r w:rsidRPr="008D16E1">
        <w:rPr>
          <w:rFonts w:ascii="Times New Roman"/>
          <w:lang w:val="zh-CN"/>
        </w:rPr>
        <w:t xml:space="preserve"> and lack systematic analytical frameworks for identifying optimal intervention pathways. The integration of artificial intelligence into development planning offers potential to enhance evidence quality and allocative efficiency, though implementation feasibility and effectiveness in resource-constrained contexts </w:t>
      </w:r>
      <w:r w:rsidR="008D16E1">
        <w:rPr>
          <w:rFonts w:ascii="Times New Roman"/>
          <w:lang w:val="zh-CN"/>
        </w:rPr>
        <w:t>remain</w:t>
      </w:r>
      <w:r w:rsidRPr="008D16E1">
        <w:rPr>
          <w:rFonts w:ascii="Times New Roman"/>
          <w:lang w:val="zh-CN"/>
        </w:rPr>
        <w:t xml:space="preserve"> underexplored. This research developed and validated an AI-based predictive framework </w:t>
      </w:r>
      <w:r w:rsidR="00C23D9E">
        <w:rPr>
          <w:rFonts w:ascii="Times New Roman"/>
          <w:lang w:val="zh-CN"/>
        </w:rPr>
        <w:t xml:space="preserve">to assess village economic resilience and support participatory development planning, examining model accuracy, key resilience determinants, and its </w:t>
      </w:r>
      <w:r w:rsidRPr="008D16E1">
        <w:rPr>
          <w:rFonts w:ascii="Times New Roman"/>
          <w:lang w:val="zh-CN"/>
        </w:rPr>
        <w:t>practical integration with existing governance processes. The study employed mixed methods across five rural villages in Central Java Province, Indonesia</w:t>
      </w:r>
      <w:r w:rsidR="008D16E1">
        <w:rPr>
          <w:rFonts w:ascii="Times New Roman"/>
          <w:lang w:val="zh-CN"/>
        </w:rPr>
        <w:t>,</w:t>
      </w:r>
      <w:r w:rsidRPr="008D16E1">
        <w:rPr>
          <w:rFonts w:ascii="Times New Roman"/>
          <w:lang w:val="zh-CN"/>
        </w:rPr>
        <w:t xml:space="preserve"> over six months (March-August 2024), combining machine learning approaches (Random Forest, Gradient Boosting) for resilience prediction with qualitative stakeholder engagement. Data collection encompassed household surveys (n=180), administrative records, spatial analysis, and participatory planning forums, with systematic comparison against conventional planning approaches. Ensemble models achieved strong predictive accuracy (R²=0.84), with Gradient Boosting demonstrating </w:t>
      </w:r>
      <w:r w:rsidR="008D16E1">
        <w:rPr>
          <w:rFonts w:ascii="Times New Roman"/>
          <w:lang w:val="zh-CN"/>
        </w:rPr>
        <w:t xml:space="preserve">the </w:t>
      </w:r>
      <w:r w:rsidRPr="008D16E1">
        <w:rPr>
          <w:rFonts w:ascii="Times New Roman"/>
          <w:lang w:val="zh-CN"/>
        </w:rPr>
        <w:t>highest performance (R²=0.89) and Random Forest (R²=0.86), substantially outperforming linear regression (R²=0.48). Digital infrastructure (24% importance), income diversification (21%), and financial service access (17%) emerged as dominant resilience determinants. AI-supported villages demonstrated enhanced planning processes</w:t>
      </w:r>
      <w:r w:rsidR="008D16E1">
        <w:rPr>
          <w:rFonts w:ascii="Times New Roman"/>
          <w:lang w:val="zh-CN"/>
        </w:rPr>
        <w:t xml:space="preserve">, including improved evidence utilization, broader stakeholder participation, and strategic </w:t>
      </w:r>
      <w:r w:rsidR="00B31FEC">
        <w:rPr>
          <w:rFonts w:ascii="Times New Roman"/>
          <w:lang w:val="zh-CN"/>
        </w:rPr>
        <w:t>realignment of priorities</w:t>
      </w:r>
      <w:r w:rsidR="008D16E1">
        <w:rPr>
          <w:rFonts w:ascii="Times New Roman"/>
          <w:lang w:val="zh-CN"/>
        </w:rPr>
        <w:t xml:space="preserve"> toward empirically identified</w:t>
      </w:r>
      <w:r w:rsidRPr="008D16E1">
        <w:rPr>
          <w:rFonts w:ascii="Times New Roman"/>
          <w:lang w:val="zh-CN"/>
        </w:rPr>
        <w:t xml:space="preserve"> leverage factors. Scenario analysis projected 18-point </w:t>
      </w:r>
      <w:r w:rsidR="008D16E1">
        <w:rPr>
          <w:rFonts w:ascii="Times New Roman"/>
          <w:lang w:val="zh-CN"/>
        </w:rPr>
        <w:t>gains in resilience</w:t>
      </w:r>
      <w:r w:rsidRPr="008D16E1">
        <w:rPr>
          <w:rFonts w:ascii="Times New Roman"/>
          <w:lang w:val="zh-CN"/>
        </w:rPr>
        <w:t xml:space="preserve"> over five years under integrated intervention strategies. The research demonstrates that appropriately designed AI systems can enhance </w:t>
      </w:r>
      <w:r w:rsidR="008D16E1">
        <w:rPr>
          <w:rFonts w:ascii="Times New Roman"/>
          <w:lang w:val="zh-CN"/>
        </w:rPr>
        <w:t xml:space="preserve">the effectiveness of rural development planning </w:t>
      </w:r>
      <w:r w:rsidRPr="008D16E1">
        <w:rPr>
          <w:rFonts w:ascii="Times New Roman"/>
          <w:lang w:val="zh-CN"/>
        </w:rPr>
        <w:t>while preserving participatory values</w:t>
      </w:r>
      <w:r w:rsidR="00641CD4" w:rsidRPr="008D16E1">
        <w:rPr>
          <w:rFonts w:ascii="Times New Roman"/>
          <w:lang w:val="en-US"/>
        </w:rPr>
        <w:t>.</w:t>
      </w:r>
    </w:p>
    <w:p w14:paraId="145F1FE3" w14:textId="77777777" w:rsidR="004F7013" w:rsidRDefault="004F7013" w:rsidP="008E70A7">
      <w:pPr>
        <w:pBdr>
          <w:bottom w:val="single" w:sz="4" w:space="1" w:color="auto"/>
        </w:pBdr>
        <w:ind w:right="-49"/>
        <w:rPr>
          <w:rFonts w:ascii="Times New Roman" w:eastAsia="Times New Roman"/>
          <w:b/>
          <w:iCs/>
        </w:rPr>
      </w:pPr>
    </w:p>
    <w:p w14:paraId="1516BCDC" w14:textId="798011CF" w:rsidR="004C0841" w:rsidRDefault="00181BDB" w:rsidP="008E70A7">
      <w:pPr>
        <w:pBdr>
          <w:bottom w:val="single" w:sz="4" w:space="1" w:color="auto"/>
        </w:pBdr>
        <w:ind w:right="-49"/>
        <w:rPr>
          <w:rFonts w:ascii="Times New Roman"/>
          <w:lang w:val="zh-CN"/>
        </w:rPr>
      </w:pPr>
      <w:proofErr w:type="spellStart"/>
      <w:r w:rsidRPr="008D16E1">
        <w:rPr>
          <w:rFonts w:ascii="Times New Roman" w:eastAsia="Times New Roman"/>
          <w:b/>
          <w:iCs/>
        </w:rPr>
        <w:t>Keywords</w:t>
      </w:r>
      <w:proofErr w:type="spellEnd"/>
      <w:r w:rsidRPr="008D16E1">
        <w:rPr>
          <w:rFonts w:ascii="Times New Roman" w:eastAsia="Times New Roman"/>
          <w:b/>
          <w:iCs/>
        </w:rPr>
        <w:t>:</w:t>
      </w:r>
      <w:r w:rsidRPr="008D16E1">
        <w:rPr>
          <w:rFonts w:ascii="Times New Roman" w:eastAsia="Times New Roman"/>
          <w:iCs/>
        </w:rPr>
        <w:t xml:space="preserve"> </w:t>
      </w:r>
      <w:r w:rsidR="004F7013" w:rsidRPr="008D16E1">
        <w:rPr>
          <w:rFonts w:ascii="Times New Roman"/>
          <w:lang w:val="en-US"/>
        </w:rPr>
        <w:t>a</w:t>
      </w:r>
      <w:r w:rsidR="004F7013" w:rsidRPr="008D16E1">
        <w:rPr>
          <w:rFonts w:ascii="Times New Roman"/>
          <w:lang w:val="zh-CN"/>
        </w:rPr>
        <w:t>rtificial intelligence</w:t>
      </w:r>
      <w:r w:rsidR="004F7013" w:rsidRPr="008D16E1">
        <w:rPr>
          <w:rFonts w:ascii="Times New Roman"/>
          <w:lang w:val="en-US"/>
        </w:rPr>
        <w:t xml:space="preserve">; </w:t>
      </w:r>
      <w:r w:rsidR="004F7013" w:rsidRPr="008D16E1">
        <w:rPr>
          <w:rFonts w:ascii="Times New Roman"/>
          <w:lang w:val="zh-CN"/>
        </w:rPr>
        <w:t>rural development planning</w:t>
      </w:r>
      <w:r w:rsidR="004F7013" w:rsidRPr="008D16E1">
        <w:rPr>
          <w:rFonts w:ascii="Times New Roman"/>
          <w:lang w:val="en-US"/>
        </w:rPr>
        <w:t>;</w:t>
      </w:r>
      <w:r w:rsidR="004F7013" w:rsidRPr="008D16E1">
        <w:rPr>
          <w:rFonts w:ascii="Times New Roman"/>
          <w:lang w:val="zh-CN"/>
        </w:rPr>
        <w:t xml:space="preserve"> economic resilience</w:t>
      </w:r>
      <w:r w:rsidR="004F7013" w:rsidRPr="008D16E1">
        <w:rPr>
          <w:rFonts w:ascii="Times New Roman"/>
          <w:lang w:val="en-US"/>
        </w:rPr>
        <w:t xml:space="preserve">; </w:t>
      </w:r>
      <w:r w:rsidR="004F7013" w:rsidRPr="008D16E1">
        <w:rPr>
          <w:rFonts w:ascii="Times New Roman"/>
          <w:lang w:val="zh-CN"/>
        </w:rPr>
        <w:t>machine learning</w:t>
      </w:r>
      <w:r w:rsidR="004F7013" w:rsidRPr="008D16E1">
        <w:rPr>
          <w:rFonts w:ascii="Times New Roman"/>
          <w:lang w:val="en-US"/>
        </w:rPr>
        <w:t>;</w:t>
      </w:r>
      <w:r w:rsidR="004F7013" w:rsidRPr="008D16E1">
        <w:rPr>
          <w:rFonts w:ascii="Times New Roman"/>
          <w:lang w:val="zh-CN"/>
        </w:rPr>
        <w:t xml:space="preserve"> participatory governance</w:t>
      </w:r>
    </w:p>
    <w:p w14:paraId="41382883" w14:textId="77777777" w:rsidR="004F7013" w:rsidRPr="008D16E1" w:rsidRDefault="004F7013" w:rsidP="008E70A7">
      <w:pPr>
        <w:pBdr>
          <w:bottom w:val="single" w:sz="4" w:space="1" w:color="auto"/>
        </w:pBdr>
        <w:ind w:right="-49"/>
        <w:rPr>
          <w:rFonts w:ascii="Times New Roman" w:eastAsia="Times New Roman" w:hint="eastAsia"/>
          <w:iCs/>
        </w:rPr>
      </w:pPr>
    </w:p>
    <w:p w14:paraId="1DADF8D7" w14:textId="77777777" w:rsidR="004C0841" w:rsidRDefault="00181BDB">
      <w:pPr>
        <w:ind w:right="-49"/>
        <w:jc w:val="right"/>
        <w:rPr>
          <w:rFonts w:ascii="Cambria Math" w:eastAsia="Times New Roman" w:hAnsi="Cambria Math"/>
          <w:iCs/>
          <w:sz w:val="18"/>
          <w:szCs w:val="18"/>
          <w:lang w:val="zh-CN"/>
        </w:rPr>
      </w:pPr>
      <w:r>
        <w:rPr>
          <w:rFonts w:ascii="Cambria Math" w:eastAsia="Times New Roman" w:hAnsi="Cambria Math"/>
          <w:iCs/>
          <w:sz w:val="18"/>
          <w:szCs w:val="18"/>
          <w:lang w:val="zh-CN"/>
        </w:rPr>
        <w:t>This is an Open Access article distributed under the terms of the Creative Commons Attribution 4.0 International license</w:t>
      </w:r>
      <w:r>
        <w:rPr>
          <w:rFonts w:ascii="Cambria Math" w:eastAsia="Times New Roman" w:hAnsi="Cambria Math"/>
          <w:iCs/>
          <w:sz w:val="18"/>
          <w:szCs w:val="18"/>
        </w:rPr>
        <w:t xml:space="preserve"> </w:t>
      </w:r>
      <w:hyperlink r:id="rId10" w:history="1">
        <w:r>
          <w:rPr>
            <w:rStyle w:val="Hyperlink"/>
            <w:rFonts w:ascii="Cambria Math" w:eastAsia="Times New Roman" w:hAnsi="Cambria Math"/>
            <w:iCs/>
            <w:sz w:val="18"/>
            <w:szCs w:val="18"/>
          </w:rPr>
          <w:t>https://creativecommons.org/licenses/by-sa/4.0/</w:t>
        </w:r>
      </w:hyperlink>
    </w:p>
    <w:p w14:paraId="36300B60" w14:textId="77777777" w:rsidR="004C0841" w:rsidRDefault="00B1718A">
      <w:pPr>
        <w:spacing w:line="360" w:lineRule="auto"/>
        <w:jc w:val="right"/>
      </w:pPr>
      <w:hyperlink r:id="rId11">
        <w:r w:rsidR="00181BDB">
          <w:rPr>
            <w:noProof/>
          </w:rPr>
          <w:drawing>
            <wp:inline distT="0" distB="0" distL="114300" distR="114300" wp14:anchorId="5BDBEEE8" wp14:editId="1F691A0B">
              <wp:extent cx="838200" cy="295275"/>
              <wp:effectExtent l="0" t="0" r="0" b="0"/>
              <wp:docPr id="1027" name="image1.jpg"/>
              <wp:cNvGraphicFramePr/>
              <a:graphic xmlns:a="http://schemas.openxmlformats.org/drawingml/2006/main">
                <a:graphicData uri="http://schemas.openxmlformats.org/drawingml/2006/picture">
                  <pic:pic xmlns:pic="http://schemas.openxmlformats.org/drawingml/2006/picture">
                    <pic:nvPicPr>
                      <pic:cNvPr id="1027" name="image1.jpg"/>
                      <pic:cNvPicPr preferRelativeResize="0"/>
                    </pic:nvPicPr>
                    <pic:blipFill>
                      <a:blip r:embed="rId12"/>
                      <a:srcRect/>
                      <a:stretch>
                        <a:fillRect/>
                      </a:stretch>
                    </pic:blipFill>
                    <pic:spPr>
                      <a:xfrm>
                        <a:off x="0" y="0"/>
                        <a:ext cx="838200" cy="295275"/>
                      </a:xfrm>
                      <a:prstGeom prst="rect">
                        <a:avLst/>
                      </a:prstGeom>
                    </pic:spPr>
                  </pic:pic>
                </a:graphicData>
              </a:graphic>
            </wp:inline>
          </w:drawing>
        </w:r>
      </w:hyperlink>
    </w:p>
    <w:p w14:paraId="36CE940F" w14:textId="77777777" w:rsidR="00CF3ABD" w:rsidRPr="00690496" w:rsidRDefault="00CF3ABD">
      <w:pPr>
        <w:spacing w:line="276" w:lineRule="auto"/>
        <w:rPr>
          <w:rFonts w:ascii="Times New Roman" w:eastAsia="Times New Roman"/>
          <w:b/>
          <w:sz w:val="24"/>
          <w:szCs w:val="24"/>
          <w:lang w:val="en-US"/>
        </w:rPr>
      </w:pPr>
    </w:p>
    <w:p w14:paraId="5C8FE32D" w14:textId="4885244E" w:rsidR="004C0841" w:rsidRPr="008D16E1" w:rsidRDefault="00181BDB">
      <w:pPr>
        <w:spacing w:line="276" w:lineRule="auto"/>
        <w:rPr>
          <w:rFonts w:ascii="Times New Roman" w:eastAsia="Times New Roman"/>
          <w:b/>
          <w:sz w:val="24"/>
          <w:szCs w:val="24"/>
        </w:rPr>
      </w:pPr>
      <w:r w:rsidRPr="008D16E1">
        <w:rPr>
          <w:rFonts w:ascii="Times New Roman" w:eastAsia="Times New Roman"/>
          <w:b/>
          <w:sz w:val="24"/>
          <w:szCs w:val="24"/>
        </w:rPr>
        <w:lastRenderedPageBreak/>
        <w:t xml:space="preserve">INTRODUCTION </w:t>
      </w:r>
    </w:p>
    <w:p w14:paraId="68508257" w14:textId="510C8511"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The rapid advancement of artificial intelligence technologies has fundamentally transformed approaches to territorial development, creating unprecedented opportunities for addressing complex socio-economic challenges in resource-constrained environments</w:t>
      </w:r>
      <w:r w:rsidR="008D16E1">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"/>
          <w:id w:val="698366290"/>
          <w:placeholder>
            <w:docPart w:val="DefaultPlaceholder_-1854013440"/>
          </w:placeholder>
        </w:sdtPr>
        <w:sdtEndPr/>
        <w:sdtContent>
          <w:r w:rsidRPr="008D16E1">
            <w:rPr>
              <w:rFonts w:ascii="Times New Roman" w:eastAsia="Times New Roman"/>
              <w:sz w:val="24"/>
              <w:szCs w:val="24"/>
            </w:rPr>
            <w:t>(Herzog, 2025; Panigrahi &amp; Kumar, 2025)</w:t>
          </w:r>
        </w:sdtContent>
      </w:sdt>
      <w:r w:rsidRPr="008D16E1">
        <w:rPr>
          <w:rFonts w:ascii="Times New Roman" w:eastAsia="Times New Roman"/>
          <w:sz w:val="24"/>
          <w:szCs w:val="24"/>
        </w:rPr>
        <w:t xml:space="preserve">. Rural communities in emerging regions, which constitute approximately 45% of the global population, face mounting pressures from climate volatility, demographic shifts, and economic marginalization that traditional planning methodologies struggle to address effectively (OECD, 2025). The intersection of predictive analytics, machine learning, and spatial planning presents a transformative paradigm for enhancing rural economic resilience through data-driven decision-making frameworks that can anticipate shocks, optimize resource allocation, and foster sustainable development pathways </w:t>
      </w:r>
      <w:sdt>
        <w:sdtPr>
          <w:rPr>
            <w:rFonts w:ascii="Times New Roman" w:eastAsia="Times New Roman"/>
            <w:sz w:val="24"/>
            <w:szCs w:val="24"/>
          </w:rPr>
          <w:tag w:val="MENDELEY_CITATION_v3_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"/>
          <w:id w:val="-1129710157"/>
          <w:placeholder>
            <w:docPart w:val="DefaultPlaceholder_-1854013440"/>
          </w:placeholder>
        </w:sdtPr>
        <w:sdtEndPr/>
        <w:sdtContent>
          <w:r w:rsidRPr="008D16E1">
            <w:rPr>
              <w:rFonts w:ascii="Times New Roman" w:eastAsia="Times New Roman"/>
              <w:sz w:val="24"/>
              <w:szCs w:val="24"/>
            </w:rPr>
            <w:t>(Amjad et al., 2024; Kumar et al., 2025)</w:t>
          </w:r>
        </w:sdtContent>
      </w:sdt>
      <w:r w:rsidRPr="008D16E1">
        <w:rPr>
          <w:rFonts w:ascii="Times New Roman" w:eastAsia="Times New Roman"/>
          <w:sz w:val="24"/>
          <w:szCs w:val="24"/>
        </w:rPr>
        <w:t>.</w:t>
      </w:r>
    </w:p>
    <w:p w14:paraId="22501A1A" w14:textId="516D9A0E"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The concept of Smart Villages, powered by Internet of Things and artificial intelligence technologies, has emerged as a revolutionary framework for bridging the urban-rural divide and addressing persistent development inequalities in remote areas. AI-driven predictive analytics, real-time data monitoring, and automated decision-support systems are transforming critical sectors</w:t>
      </w:r>
      <w:r w:rsidR="006064B5">
        <w:rPr>
          <w:rFonts w:ascii="Times New Roman" w:eastAsia="Times New Roman"/>
          <w:sz w:val="24"/>
          <w:szCs w:val="24"/>
        </w:rPr>
        <w:t>,</w:t>
      </w:r>
      <w:r w:rsidRPr="008D16E1">
        <w:rPr>
          <w:rFonts w:ascii="Times New Roman" w:eastAsia="Times New Roman"/>
          <w:sz w:val="24"/>
          <w:szCs w:val="24"/>
        </w:rPr>
        <w:t xml:space="preserve"> including agriculture, healthcare, education, energy management, and governance in rural contexts where infrastructure limitations have historically constrained development potential</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"/>
          <w:id w:val="-499499651"/>
          <w:placeholder>
            <w:docPart w:val="DefaultPlaceholder_-1854013440"/>
          </w:placeholder>
        </w:sdtPr>
        <w:sdtEndPr/>
        <w:sdtContent>
          <w:r w:rsidRPr="008D16E1">
            <w:rPr>
              <w:rFonts w:ascii="Times New Roman" w:eastAsia="Times New Roman"/>
              <w:sz w:val="24"/>
              <w:szCs w:val="24"/>
            </w:rPr>
            <w:t>(Pourghasem et al., 2025; Tan et al., 2025)</w:t>
          </w:r>
        </w:sdtContent>
      </w:sdt>
      <w:r w:rsidRPr="008D16E1">
        <w:rPr>
          <w:rFonts w:ascii="Times New Roman" w:eastAsia="Times New Roman"/>
          <w:sz w:val="24"/>
          <w:szCs w:val="24"/>
        </w:rPr>
        <w:t>. These technological interventions enable rural communities to leverage data-driven insights for precision farming, climate adaptation</w:t>
      </w:r>
      <w:r w:rsidR="006064B5">
        <w:rPr>
          <w:rFonts w:ascii="Times New Roman" w:eastAsia="Times New Roman"/>
          <w:sz w:val="24"/>
          <w:szCs w:val="24"/>
        </w:rPr>
        <w:t>, and economic diversification, thereby enhancing</w:t>
      </w:r>
      <w:r w:rsidRPr="008D16E1">
        <w:rPr>
          <w:rFonts w:ascii="Times New Roman" w:eastAsia="Times New Roman"/>
          <w:sz w:val="24"/>
          <w:szCs w:val="24"/>
        </w:rPr>
        <w:t xml:space="preserve"> productivity and sustainability outcomes</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"/>
          <w:id w:val="-55243747"/>
          <w:placeholder>
            <w:docPart w:val="DefaultPlaceholder_-1854013440"/>
          </w:placeholder>
        </w:sdtPr>
        <w:sdtEndPr/>
        <w:sdtContent>
          <w:r w:rsidRPr="008D16E1">
            <w:rPr>
              <w:rFonts w:ascii="Times New Roman" w:eastAsia="Times New Roman"/>
              <w:sz w:val="24"/>
              <w:szCs w:val="24"/>
            </w:rPr>
            <w:t>(P et al., 2025; Solikhah &amp; Komarudin, 2025)</w:t>
          </w:r>
        </w:sdtContent>
      </w:sdt>
      <w:r w:rsidRPr="008D16E1">
        <w:rPr>
          <w:rFonts w:ascii="Times New Roman" w:eastAsia="Times New Roman"/>
          <w:sz w:val="24"/>
          <w:szCs w:val="24"/>
        </w:rPr>
        <w:t>.</w:t>
      </w:r>
    </w:p>
    <w:p w14:paraId="5036C2D4" w14:textId="18BC7DA9"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Machine learning algorithms have demonstrated remarkable capabilities </w:t>
      </w:r>
      <w:r w:rsidR="006064B5">
        <w:rPr>
          <w:rFonts w:ascii="Times New Roman" w:eastAsia="Times New Roman"/>
          <w:sz w:val="24"/>
          <w:szCs w:val="24"/>
        </w:rPr>
        <w:t>for analyzing complex spatiotemporal patterns in rural ecosystems and processing diverse data streams, including climate variables, soil properties, demographic indicators, and socio-economic metrics,</w:t>
      </w:r>
      <w:r w:rsidRPr="008D16E1">
        <w:rPr>
          <w:rFonts w:ascii="Times New Roman" w:eastAsia="Times New Roman"/>
          <w:sz w:val="24"/>
          <w:szCs w:val="24"/>
        </w:rPr>
        <w:t xml:space="preserve"> to generate reliable forecasts for strategic planning interventions</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"/>
          <w:id w:val="-282113286"/>
          <w:placeholder>
            <w:docPart w:val="DefaultPlaceholder_-1854013440"/>
          </w:placeholder>
        </w:sdtPr>
        <w:sdtEndPr/>
        <w:sdtContent>
          <w:r w:rsidRPr="008D16E1">
            <w:rPr>
              <w:rFonts w:ascii="Times New Roman" w:eastAsia="Times New Roman"/>
              <w:sz w:val="24"/>
              <w:szCs w:val="24"/>
            </w:rPr>
            <w:t>(Olasoji, 2024)</w:t>
          </w:r>
        </w:sdtContent>
      </w:sdt>
      <w:r w:rsidRPr="008D16E1">
        <w:rPr>
          <w:rFonts w:ascii="Times New Roman" w:eastAsia="Times New Roman"/>
          <w:sz w:val="24"/>
          <w:szCs w:val="24"/>
        </w:rPr>
        <w:t>. Recent applications in emerging economies have shown that AI-powered tools can effectively model urban-rural linkages, predict resource demands, and simulate development scenarios that account for local constraints and opportunities</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"/>
          <w:id w:val="-336691799"/>
          <w:placeholder>
            <w:docPart w:val="DefaultPlaceholder_-1854013440"/>
          </w:placeholder>
        </w:sdtPr>
        <w:sdtEndPr/>
        <w:sdtContent>
          <w:r w:rsidRPr="008D16E1">
            <w:rPr>
              <w:rFonts w:ascii="Times New Roman" w:eastAsia="Times New Roman"/>
              <w:sz w:val="24"/>
              <w:szCs w:val="24"/>
            </w:rPr>
            <w:t>(de Siles, 2021; Lestari, 2025)</w:t>
          </w:r>
        </w:sdtContent>
      </w:sdt>
      <w:r w:rsidRPr="008D16E1">
        <w:rPr>
          <w:rFonts w:ascii="Times New Roman" w:eastAsia="Times New Roman"/>
          <w:sz w:val="24"/>
          <w:szCs w:val="24"/>
        </w:rPr>
        <w:t xml:space="preserve">. The integration of geospatial big data with advanced computational platforms, particularly through Google Earth Engine and cloud-based processing systems, has enabled pixel-level classification of </w:t>
      </w:r>
      <w:r w:rsidR="006064B5">
        <w:rPr>
          <w:rFonts w:ascii="Times New Roman" w:eastAsia="Times New Roman"/>
          <w:sz w:val="24"/>
          <w:szCs w:val="24"/>
        </w:rPr>
        <w:t>land-use patterns and real-time monitoring of spatial transformations, informing</w:t>
      </w:r>
      <w:r w:rsidRPr="008D16E1">
        <w:rPr>
          <w:rFonts w:ascii="Times New Roman" w:eastAsia="Times New Roman"/>
          <w:sz w:val="24"/>
          <w:szCs w:val="24"/>
        </w:rPr>
        <w:t xml:space="preserve"> adaptive planning strategies.</w:t>
      </w:r>
    </w:p>
    <w:p w14:paraId="383C5DA4" w14:textId="77777777"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Despite the proliferation of AI applications in urban planning contexts, significant implementation gaps persist in translating these technological capabilities into actionable frameworks for rural village planning, particularly in emerging regions where data scarcity, infrastructural deficits, and capacity constraints limit technology adoption </w:t>
      </w:r>
      <w:sdt>
        <w:sdtPr>
          <w:rPr>
            <w:rFonts w:ascii="Times New Roman" w:eastAsia="Times New Roman"/>
            <w:sz w:val="24"/>
            <w:szCs w:val="24"/>
          </w:rPr>
          <w:tag w:val="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"/>
          <w:id w:val="-801766292"/>
          <w:placeholder>
            <w:docPart w:val="DefaultPlaceholder_-1854013440"/>
          </w:placeholder>
        </w:sdtPr>
        <w:sdtEndPr/>
        <w:sdtContent>
          <w:r w:rsidRPr="008D16E1">
            <w:rPr>
              <w:rFonts w:ascii="Times New Roman" w:eastAsia="Times New Roman"/>
              <w:sz w:val="24"/>
              <w:szCs w:val="24"/>
            </w:rPr>
            <w:t>(Bag &amp; Hadli, 2023; Birkstedt et al., 2023)</w:t>
          </w:r>
        </w:sdtContent>
      </w:sdt>
      <w:r w:rsidRPr="008D16E1">
        <w:rPr>
          <w:rFonts w:ascii="Times New Roman" w:eastAsia="Times New Roman"/>
          <w:sz w:val="24"/>
          <w:szCs w:val="24"/>
        </w:rPr>
        <w:t xml:space="preserve">. The absence of context-specific predictive models that account for the unique characteristics of rural economies—including high dependency on natural resources, limited economic diversification, and vulnerability to climate shocks—creates a critical knowledge gap in resilience planning methodologies </w:t>
      </w:r>
      <w:sdt>
        <w:sdtPr>
          <w:rPr>
            <w:rFonts w:ascii="Times New Roman" w:eastAsia="Times New Roman"/>
            <w:sz w:val="24"/>
            <w:szCs w:val="24"/>
          </w:rPr>
          <w:tag w:val="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"/>
          <w:id w:val="710617550"/>
          <w:placeholder>
            <w:docPart w:val="DefaultPlaceholder_-1854013440"/>
          </w:placeholder>
        </w:sdtPr>
        <w:sdtEndPr/>
        <w:sdtContent>
          <w:r w:rsidRPr="008D16E1">
            <w:rPr>
              <w:rFonts w:ascii="Times New Roman" w:eastAsia="Times New Roman"/>
              <w:sz w:val="24"/>
              <w:szCs w:val="24"/>
            </w:rPr>
            <w:t>(Madzivhandila &amp; Niyimbanira, 2020; Zinchuk et al., 2021)</w:t>
          </w:r>
        </w:sdtContent>
      </w:sdt>
      <w:r w:rsidRPr="008D16E1">
        <w:rPr>
          <w:rFonts w:ascii="Times New Roman" w:eastAsia="Times New Roman"/>
          <w:sz w:val="24"/>
          <w:szCs w:val="24"/>
        </w:rPr>
        <w:t xml:space="preserve">. Furthermore, existing AI-driven planning tools predominantly focus on technological sophistication without adequately addressing ethical dimensions, community participation requirements, and the socio-political complexities inherent in rural governance systems </w:t>
      </w:r>
      <w:sdt>
        <w:sdtPr>
          <w:rPr>
            <w:rFonts w:ascii="Times New Roman" w:eastAsia="Times New Roman"/>
            <w:sz w:val="24"/>
            <w:szCs w:val="24"/>
          </w:rPr>
          <w:tag w:val="MENDELEY_CITATION_v3_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"/>
          <w:id w:val="755943736"/>
          <w:placeholder>
            <w:docPart w:val="DefaultPlaceholder_-1854013440"/>
          </w:placeholder>
        </w:sdtPr>
        <w:sdtEndPr/>
        <w:sdtContent>
          <w:r w:rsidRPr="008D16E1">
            <w:rPr>
              <w:rFonts w:ascii="Times New Roman" w:eastAsia="Times New Roman"/>
              <w:sz w:val="24"/>
              <w:szCs w:val="24"/>
            </w:rPr>
            <w:t>(Fenz et al., 2023; Ye et al., 2021)</w:t>
          </w:r>
        </w:sdtContent>
      </w:sdt>
      <w:r w:rsidRPr="008D16E1">
        <w:rPr>
          <w:rFonts w:ascii="Times New Roman" w:eastAsia="Times New Roman"/>
          <w:sz w:val="24"/>
          <w:szCs w:val="24"/>
        </w:rPr>
        <w:t>.</w:t>
      </w:r>
    </w:p>
    <w:p w14:paraId="1DFA9AB0" w14:textId="5987AC89" w:rsidR="004C0841" w:rsidRPr="008D16E1" w:rsidRDefault="00C23D9E" w:rsidP="00174E4E">
      <w:pPr>
        <w:spacing w:line="276" w:lineRule="auto"/>
        <w:ind w:firstLine="426"/>
        <w:contextualSpacing/>
        <w:rPr>
          <w:rFonts w:ascii="Times New Roman" w:eastAsia="Times New Roman"/>
          <w:sz w:val="24"/>
          <w:szCs w:val="24"/>
        </w:rPr>
      </w:pPr>
      <w:r>
        <w:rPr>
          <w:rFonts w:ascii="Times New Roman" w:eastAsia="Times New Roman"/>
          <w:sz w:val="24"/>
          <w:szCs w:val="24"/>
        </w:rPr>
        <w:t>Three converging crises underscore the urgency of developing robust AI-driven village planning frameworks</w:t>
      </w:r>
      <w:r w:rsidR="00181BDB" w:rsidRPr="008D16E1">
        <w:rPr>
          <w:rFonts w:ascii="Times New Roman" w:eastAsia="Times New Roman"/>
          <w:sz w:val="24"/>
          <w:szCs w:val="24"/>
        </w:rPr>
        <w:t xml:space="preserve">: accelerating climate change impacts that disproportionately affect rural livelihoods, rapid demographic transitions that threaten rural vitality, and increasing economic disparities between urban and rural regions that fuel migration and social instability. Rural areas in emerging regions are experiencing unprecedented economic vulnerability, with traditional livelihood systems collapsing faster than alternative economic opportunities can be developed, necessitating immediate intervention through scientifically informed planning approaches </w:t>
      </w:r>
      <w:sdt>
        <w:sdtPr>
          <w:rPr>
            <w:rFonts w:ascii="Times New Roman" w:eastAsia="Times New Roman"/>
            <w:sz w:val="24"/>
            <w:szCs w:val="24"/>
          </w:rPr>
          <w:tag w:val="MENDELEY_CITATION_v3_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"/>
          <w:id w:val="901485694"/>
          <w:placeholder>
            <w:docPart w:val="DefaultPlaceholder_-1854013440"/>
          </w:placeholder>
        </w:sdtPr>
        <w:sdtEndPr/>
        <w:sdtContent>
          <w:r w:rsidR="00181BDB" w:rsidRPr="008D16E1">
            <w:rPr>
              <w:rFonts w:ascii="Times New Roman" w:eastAsia="Times New Roman"/>
              <w:sz w:val="24"/>
              <w:szCs w:val="24"/>
            </w:rPr>
            <w:t>(Sultana et al., 2021)</w:t>
          </w:r>
        </w:sdtContent>
      </w:sdt>
      <w:r w:rsidR="00181BDB" w:rsidRPr="008D16E1">
        <w:rPr>
          <w:rFonts w:ascii="Times New Roman" w:eastAsia="Times New Roman"/>
          <w:sz w:val="24"/>
          <w:szCs w:val="24"/>
        </w:rPr>
        <w:t>. The window for building adaptive capacity in rural communities is narrowing as environmental degradation, resource depletion, and infrastructure decay create compounding vulnerabilities that conventional planning methodologies cannot adequately address within the required timeframes</w:t>
      </w:r>
      <w:r>
        <w:rPr>
          <w:rFonts w:ascii="Times New Roman" w:eastAsia="Times New Roman"/>
          <w:sz w:val="24"/>
          <w:szCs w:val="24"/>
        </w:rPr>
        <w:t>.</w:t>
      </w:r>
      <w:r w:rsidR="00181BDB"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"/>
          <w:id w:val="-291674717"/>
          <w:placeholder>
            <w:docPart w:val="DefaultPlaceholder_-1854013440"/>
          </w:placeholder>
        </w:sdtPr>
        <w:sdtEndPr/>
        <w:sdtContent>
          <w:r w:rsidR="00181BDB" w:rsidRPr="008D16E1">
            <w:rPr>
              <w:rFonts w:ascii="Times New Roman" w:eastAsia="Times New Roman"/>
              <w:sz w:val="24"/>
              <w:szCs w:val="24"/>
            </w:rPr>
            <w:t>(David et al., 2013; Landicho &amp; Ramirez, 2023)</w:t>
          </w:r>
        </w:sdtContent>
      </w:sdt>
      <w:r w:rsidR="00181BDB" w:rsidRPr="008D16E1">
        <w:rPr>
          <w:rFonts w:ascii="Times New Roman" w:eastAsia="Times New Roman"/>
          <w:sz w:val="24"/>
          <w:szCs w:val="24"/>
        </w:rPr>
        <w:t>.</w:t>
      </w:r>
    </w:p>
    <w:p w14:paraId="0CED2A92" w14:textId="3CF535C0"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This research advances the frontier of AI-driven rural development planning through three primary innovations: first, it develops a novel integrated predictive modeling framework that combines multiple machine learning algorithms—including random forest, support vector regression, and deep neural networks—with spatial analysis techniques specifically calibrated for data-sparse rural environments in emerging regions</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"/>
          <w:id w:val="-2011522885"/>
          <w:placeholder>
            <w:docPart w:val="DefaultPlaceholder_-1854013440"/>
          </w:placeholder>
        </w:sdtPr>
        <w:sdtEndPr/>
        <w:sdtContent>
          <w:r w:rsidRPr="008D16E1">
            <w:rPr>
              <w:rFonts w:ascii="Times New Roman" w:eastAsia="Times New Roman"/>
              <w:sz w:val="24"/>
              <w:szCs w:val="24"/>
            </w:rPr>
            <w:t>(Xu et al., 2023)</w:t>
          </w:r>
        </w:sdtContent>
      </w:sdt>
      <w:r w:rsidRPr="008D16E1">
        <w:rPr>
          <w:rFonts w:ascii="Times New Roman" w:eastAsia="Times New Roman"/>
          <w:sz w:val="24"/>
          <w:szCs w:val="24"/>
        </w:rPr>
        <w:t xml:space="preserve">. Second, it introduces a </w:t>
      </w:r>
      <w:r w:rsidR="00C23D9E">
        <w:rPr>
          <w:rFonts w:ascii="Times New Roman" w:eastAsia="Times New Roman"/>
          <w:sz w:val="24"/>
          <w:szCs w:val="24"/>
        </w:rPr>
        <w:t xml:space="preserve">multidimensional resilience assessment approach that simultaneously captures indicators of economic productivity, social cohesion, ecological sustainability, and institutional capacity </w:t>
      </w:r>
      <w:r w:rsidRPr="008D16E1">
        <w:rPr>
          <w:rFonts w:ascii="Times New Roman" w:eastAsia="Times New Roman"/>
          <w:sz w:val="24"/>
          <w:szCs w:val="24"/>
        </w:rPr>
        <w:t>within a unified analytical framework, addressing the fragmentation that characterizes existing rural planning methodologies. Third, this study pioneers the integration of participatory planning principles with AI-driven analytics, developing a hybrid governance model that balances technological sophistication with community agency, ensuring that predictive models serve as decision-support tools rather than technocratic impositions that bypass local knowledge systems (AI-Driven Urban Planning Integration, 2025; Farrell et al., 2025; Neth et al., 2025).</w:t>
      </w:r>
    </w:p>
    <w:p w14:paraId="2A4114A3" w14:textId="310093AE" w:rsidR="004C0841" w:rsidRPr="008D16E1" w:rsidRDefault="00181BDB" w:rsidP="00B833C4">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This research aims to develop and validate an AI-driven village planning framework that enhances rural economic resilience in emerging regions through predictive modeling and data-driven decision support. The specific objectives include designing machine learning models to predict rural economic vulnerability, establishing a multi-dimensional resilience measurement system, creating spatial analysis protocols for resource allocation, developing implementation guidelines, and producing empirical evidence on the effectiveness of AI-driven planning compared to conventional methods. The research provides practical tools for development practitioners and policymakers, advancing understanding of AI integration in participatory planning processes while preserving community agency and local knowledge. It also offers actionable guidance </w:t>
      </w:r>
      <w:r w:rsidR="00C23D9E">
        <w:rPr>
          <w:rFonts w:ascii="Times New Roman" w:eastAsia="Times New Roman"/>
          <w:sz w:val="24"/>
          <w:szCs w:val="24"/>
        </w:rPr>
        <w:t xml:space="preserve">to government agencies and rural communities, supporting resilience-building initiatives and advancing </w:t>
      </w:r>
      <w:r w:rsidR="00C23D9E">
        <w:rPr>
          <w:rFonts w:ascii="Times New Roman" w:eastAsia="Times New Roman"/>
          <w:sz w:val="24"/>
          <w:szCs w:val="24"/>
        </w:rPr>
        <w:lastRenderedPageBreak/>
        <w:t>Sustainable Development Goals (SDGs</w:t>
      </w:r>
      <w:r w:rsidRPr="008D16E1">
        <w:rPr>
          <w:rFonts w:ascii="Times New Roman" w:eastAsia="Times New Roman"/>
          <w:sz w:val="24"/>
          <w:szCs w:val="24"/>
        </w:rPr>
        <w:t xml:space="preserve"> 1, 10, and 11) by addressing rural development challenges in resource-constrained settings.</w:t>
      </w:r>
    </w:p>
    <w:p w14:paraId="4EBA575B" w14:textId="3B4D2309"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Recent scholarship has documented significant advances in applying artificial intelligence to rural economic development challenges, with particular emphasis on </w:t>
      </w:r>
      <w:r w:rsidR="006064B5">
        <w:rPr>
          <w:rFonts w:ascii="Times New Roman" w:eastAsia="Times New Roman"/>
          <w:sz w:val="24"/>
          <w:szCs w:val="24"/>
        </w:rPr>
        <w:t>enhancing agricultural productivity, optimizing market access, and advancing financial inclusion</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"/>
          <w:id w:val="-1914298773"/>
          <w:placeholder>
            <w:docPart w:val="DefaultPlaceholder_-1854013440"/>
          </w:placeholder>
        </w:sdtPr>
        <w:sdtEndPr/>
        <w:sdtContent>
          <w:r w:rsidRPr="008D16E1">
            <w:rPr>
              <w:rFonts w:ascii="Times New Roman" w:eastAsia="Times New Roman"/>
              <w:sz w:val="24"/>
              <w:szCs w:val="24"/>
            </w:rPr>
            <w:t>(Liu et al., 2023</w:t>
          </w:r>
          <w:r w:rsidR="00174E4E" w:rsidRPr="008D16E1">
            <w:rPr>
              <w:rFonts w:ascii="Times New Roman" w:eastAsia="Times New Roman"/>
              <w:sz w:val="24"/>
              <w:szCs w:val="24"/>
            </w:rPr>
            <w:t>).</w:t>
          </w:r>
        </w:sdtContent>
      </w:sdt>
      <w:r w:rsidRPr="008D16E1">
        <w:rPr>
          <w:rFonts w:ascii="Times New Roman" w:eastAsia="Times New Roman"/>
          <w:sz w:val="24"/>
          <w:szCs w:val="24"/>
        </w:rPr>
        <w:t xml:space="preserve"> Studies conducted in Indonesia have demonstrated the efficacy of machine learning models, particularly Decision Tree algorithms</w:t>
      </w:r>
      <w:r w:rsidR="00C23D9E">
        <w:rPr>
          <w:rFonts w:ascii="Times New Roman" w:eastAsia="Times New Roman"/>
          <w:sz w:val="24"/>
          <w:szCs w:val="24"/>
        </w:rPr>
        <w:t>,</w:t>
      </w:r>
      <w:r w:rsidRPr="008D16E1">
        <w:rPr>
          <w:rFonts w:ascii="Times New Roman" w:eastAsia="Times New Roman"/>
          <w:sz w:val="24"/>
          <w:szCs w:val="24"/>
        </w:rPr>
        <w:t xml:space="preserve"> achieving 99.5% classification accuracy, in identifying underdeveloped villages and determining priority intervention areas based on Economic Resilience Index (IKE), Ecological Resilience Index (IKL), and Social Resilience Index (IKS) indicators </w:t>
      </w:r>
      <w:sdt>
        <w:sdtPr>
          <w:rPr>
            <w:rFonts w:ascii="Times New Roman" w:eastAsia="Times New Roman"/>
            <w:sz w:val="24"/>
            <w:szCs w:val="24"/>
          </w:rPr>
          <w:tag w:val="MENDELEY_CITATION_v3_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"/>
          <w:id w:val="-123930722"/>
          <w:placeholder>
            <w:docPart w:val="DefaultPlaceholder_-1854013440"/>
          </w:placeholder>
        </w:sdtPr>
        <w:sdtEndPr/>
        <w:sdtContent>
          <w:r w:rsidRPr="008D16E1">
            <w:rPr>
              <w:rFonts w:ascii="Times New Roman" w:eastAsia="Times New Roman"/>
              <w:sz w:val="24"/>
              <w:szCs w:val="24"/>
            </w:rPr>
            <w:t>(Tian et al., 2022)</w:t>
          </w:r>
        </w:sdtContent>
      </w:sdt>
      <w:r w:rsidRPr="008D16E1">
        <w:rPr>
          <w:rFonts w:ascii="Times New Roman" w:eastAsia="Times New Roman"/>
          <w:sz w:val="24"/>
          <w:szCs w:val="24"/>
        </w:rPr>
        <w:t>. Research examining rural household resilience in China through random forest modeling has revealed that village market accessibility, gentry assistance networks, and economic organization participation constitute the most influential factors shaping resilience trajectories, suggesting that AI models must incorporate social capital dimensions alongside traditional economic variables</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"/>
          <w:id w:val="-774402337"/>
          <w:placeholder>
            <w:docPart w:val="DefaultPlaceholder_-1854013440"/>
          </w:placeholder>
        </w:sdtPr>
        <w:sdtEndPr/>
        <w:sdtContent>
          <w:r w:rsidRPr="008D16E1">
            <w:rPr>
              <w:rFonts w:ascii="Times New Roman" w:eastAsia="Times New Roman"/>
              <w:sz w:val="24"/>
              <w:szCs w:val="24"/>
            </w:rPr>
            <w:t>(Keshavarz &amp; Moqadas, 2021; Wu et al., 2023)</w:t>
          </w:r>
        </w:sdtContent>
      </w:sdt>
      <w:r w:rsidRPr="008D16E1">
        <w:rPr>
          <w:rFonts w:ascii="Times New Roman" w:eastAsia="Times New Roman"/>
          <w:sz w:val="24"/>
          <w:szCs w:val="24"/>
        </w:rPr>
        <w:t>.</w:t>
      </w:r>
    </w:p>
    <w:p w14:paraId="30EA3FC2" w14:textId="182B26DE"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Machine learning approaches to predicting economic resilience have evolved significantly, with artificial neural networks (</w:t>
      </w:r>
      <w:r w:rsidR="006064B5">
        <w:rPr>
          <w:rFonts w:ascii="Times New Roman" w:eastAsia="Times New Roman"/>
          <w:sz w:val="24"/>
          <w:szCs w:val="24"/>
        </w:rPr>
        <w:t>ANNs) consistently outperforming traditional time-series models such as ARIMA across key performance metrics, including mean squared error, root mean squared error, and mean absolute percentage error,</w:t>
      </w:r>
      <w:r w:rsidRPr="008D16E1">
        <w:rPr>
          <w:rFonts w:ascii="Times New Roman" w:eastAsia="Times New Roman"/>
          <w:sz w:val="24"/>
          <w:szCs w:val="24"/>
        </w:rPr>
        <w:t xml:space="preserve"> when forecasting resilience indicators</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"/>
          <w:id w:val="-344940077"/>
          <w:placeholder>
            <w:docPart w:val="DefaultPlaceholder_-1854013440"/>
          </w:placeholder>
        </w:sdtPr>
        <w:sdtEndPr/>
        <w:sdtContent>
          <w:r w:rsidRPr="008D16E1">
            <w:rPr>
              <w:rFonts w:ascii="Times New Roman" w:eastAsia="Times New Roman"/>
              <w:sz w:val="24"/>
              <w:szCs w:val="24"/>
            </w:rPr>
            <w:t>(Hagenauer &amp; Helbich, 2022)</w:t>
          </w:r>
        </w:sdtContent>
      </w:sdt>
      <w:r w:rsidRPr="008D16E1">
        <w:rPr>
          <w:rFonts w:ascii="Times New Roman" w:eastAsia="Times New Roman"/>
          <w:sz w:val="24"/>
          <w:szCs w:val="24"/>
        </w:rPr>
        <w:t xml:space="preserve">. Spatial machine learning models that explicitly incorporate geographic contiguity matrices have demonstrated superior performance compared to traditional algorithms in poverty mapping applications, addressing the critical limitation of spatial correlation that conventional machine learning approaches often overlook </w:t>
      </w:r>
      <w:sdt>
        <w:sdtPr>
          <w:rPr>
            <w:rFonts w:ascii="Times New Roman" w:eastAsia="Times New Roman"/>
            <w:sz w:val="24"/>
            <w:szCs w:val="24"/>
          </w:rPr>
          <w:tag w:val="MENDELEY_CITATION_v3_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"/>
          <w:id w:val="1894077115"/>
          <w:placeholder>
            <w:docPart w:val="DefaultPlaceholder_-1854013440"/>
          </w:placeholder>
        </w:sdtPr>
        <w:sdtEndPr/>
        <w:sdtContent>
          <w:r w:rsidRPr="008D16E1">
            <w:rPr>
              <w:rFonts w:ascii="Times New Roman" w:eastAsia="Times New Roman"/>
              <w:sz w:val="24"/>
              <w:szCs w:val="24"/>
            </w:rPr>
            <w:t>(Rodríguez-Hernández et al., 2021)</w:t>
          </w:r>
        </w:sdtContent>
      </w:sdt>
      <w:r w:rsidRPr="008D16E1">
        <w:rPr>
          <w:rFonts w:ascii="Times New Roman" w:eastAsia="Times New Roman"/>
          <w:sz w:val="24"/>
          <w:szCs w:val="24"/>
        </w:rPr>
        <w:t xml:space="preserve">. Advanced hybrid modeling approaches combining Transformer and BiLSTM architectures with Bayesian optimization have shown promising results in </w:t>
      </w:r>
      <w:r w:rsidR="00C23D9E">
        <w:rPr>
          <w:rFonts w:ascii="Times New Roman" w:eastAsia="Times New Roman"/>
          <w:sz w:val="24"/>
          <w:szCs w:val="24"/>
        </w:rPr>
        <w:t>predicting agro-ecological systems</w:t>
      </w:r>
      <w:r w:rsidRPr="008D16E1">
        <w:rPr>
          <w:rFonts w:ascii="Times New Roman" w:eastAsia="Times New Roman"/>
          <w:sz w:val="24"/>
          <w:szCs w:val="24"/>
        </w:rPr>
        <w:t>, capturing complex spatiotemporal patterns in climate factors, soil properties, and socio-economic indicators to generate reliable forecasts of crop yields and resource demands.</w:t>
      </w:r>
    </w:p>
    <w:p w14:paraId="3CB1EEAF" w14:textId="60608613" w:rsidR="00174E4E"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Three critical gaps characterize the current state of AI-driven rural planning research: first, the predominant focus on urban applications has resulted in insufficient attention to the specific challenges of rural contexts, including limited data availability, infrastructure constraints, and unique socio-economic dynamics that require fundamentally different modeling approaches</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"/>
          <w:id w:val="-1751652457"/>
          <w:placeholder>
            <w:docPart w:val="DefaultPlaceholder_-1854013440"/>
          </w:placeholder>
        </w:sdtPr>
        <w:sdtEndPr/>
        <w:sdtContent>
          <w:r w:rsidRPr="008D16E1">
            <w:rPr>
              <w:rFonts w:ascii="Times New Roman" w:eastAsia="Times New Roman"/>
              <w:sz w:val="24"/>
              <w:szCs w:val="24"/>
            </w:rPr>
            <w:t>(Luck et al., 2009)</w:t>
          </w:r>
        </w:sdtContent>
      </w:sdt>
      <w:r w:rsidRPr="008D16E1">
        <w:rPr>
          <w:rFonts w:ascii="Times New Roman" w:eastAsia="Times New Roman"/>
          <w:sz w:val="24"/>
          <w:szCs w:val="24"/>
        </w:rPr>
        <w:t xml:space="preserve">. Second, while existing studies have successfully demonstrated AI's technical capabilities in isolated applications, there remains a lack of integrated frameworks that synthesize multiple dimensions of rural resilience—economic, social, ecological, and institutional—into cohesive predictive models that can guide comprehensive village planning initiatives </w:t>
      </w:r>
      <w:sdt>
        <w:sdtPr>
          <w:rPr>
            <w:rFonts w:ascii="Times New Roman" w:eastAsia="Times New Roman"/>
            <w:sz w:val="24"/>
            <w:szCs w:val="24"/>
          </w:rPr>
          <w:tag w:val="MENDELEY_CITATION_v3_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"/>
          <w:id w:val="-2000257541"/>
          <w:placeholder>
            <w:docPart w:val="DefaultPlaceholder_-1854013440"/>
          </w:placeholder>
        </w:sdtPr>
        <w:sdtEndPr/>
        <w:sdtContent>
          <w:r w:rsidRPr="008D16E1">
            <w:rPr>
              <w:rFonts w:ascii="Times New Roman" w:eastAsia="Times New Roman"/>
              <w:sz w:val="24"/>
              <w:szCs w:val="24"/>
            </w:rPr>
            <w:t>(Lundgren &amp; Nilsson, 2023; Yang et al., 2022)</w:t>
          </w:r>
        </w:sdtContent>
      </w:sdt>
      <w:r w:rsidRPr="008D16E1">
        <w:rPr>
          <w:rFonts w:ascii="Times New Roman" w:eastAsia="Times New Roman"/>
          <w:sz w:val="24"/>
          <w:szCs w:val="24"/>
        </w:rPr>
        <w:t xml:space="preserve">. Third, the disconnect between AI model development and actual implementation in rural governance structures reflects inadequate attention to the socio-political dimensions of technology adoption, including community participation, ethical considerations, digital literacy requirements, and </w:t>
      </w:r>
      <w:r w:rsidR="00A621DD">
        <w:rPr>
          <w:rFonts w:ascii="Times New Roman" w:eastAsia="Times New Roman"/>
          <w:sz w:val="24"/>
          <w:szCs w:val="24"/>
        </w:rPr>
        <w:t>the institutional capacity-building</w:t>
      </w:r>
      <w:r w:rsidRPr="008D16E1">
        <w:rPr>
          <w:rFonts w:ascii="Times New Roman" w:eastAsia="Times New Roman"/>
          <w:sz w:val="24"/>
          <w:szCs w:val="24"/>
        </w:rPr>
        <w:t xml:space="preserve"> necessary for sustainable AI integration</w:t>
      </w:r>
      <w:r w:rsidR="00C23D9E">
        <w:rPr>
          <w:rFonts w:ascii="Times New Roman" w:eastAsia="Times New Roman"/>
          <w:sz w:val="24"/>
          <w:szCs w:val="24"/>
        </w:rPr>
        <w:t>.</w:t>
      </w:r>
      <w:r w:rsidRPr="008D16E1">
        <w:rPr>
          <w:rFonts w:ascii="Times New Roman" w:eastAsia="Times New Roman"/>
          <w:sz w:val="24"/>
          <w:szCs w:val="24"/>
        </w:rPr>
        <w:t xml:space="preserve"> </w:t>
      </w:r>
      <w:sdt>
        <w:sdtPr>
          <w:rPr>
            <w:rFonts w:ascii="Times New Roman" w:eastAsia="Times New Roman"/>
            <w:sz w:val="24"/>
            <w:szCs w:val="24"/>
          </w:rPr>
          <w:tag w:val="MENDELEY_CITATION_v3_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"/>
          <w:id w:val="-955016254"/>
          <w:placeholder>
            <w:docPart w:val="DefaultPlaceholder_-1854013440"/>
          </w:placeholder>
        </w:sdtPr>
        <w:sdtEndPr/>
        <w:sdtContent>
          <w:r w:rsidRPr="008D16E1">
            <w:rPr>
              <w:rFonts w:ascii="Times New Roman" w:eastAsia="Times New Roman"/>
              <w:sz w:val="24"/>
              <w:szCs w:val="24"/>
            </w:rPr>
            <w:t>(Shinners et al., 2023; Shore et al., 2019)</w:t>
          </w:r>
        </w:sdtContent>
      </w:sdt>
      <w:r w:rsidRPr="008D16E1">
        <w:rPr>
          <w:rFonts w:ascii="Times New Roman" w:eastAsia="Times New Roman"/>
          <w:sz w:val="24"/>
          <w:szCs w:val="24"/>
        </w:rPr>
        <w:t>.</w:t>
      </w:r>
    </w:p>
    <w:p w14:paraId="46FB24BE" w14:textId="47466B4B" w:rsidR="00174E4E" w:rsidRPr="008D16E1" w:rsidRDefault="00562BB2" w:rsidP="00174E4E">
      <w:pPr>
        <w:spacing w:line="276" w:lineRule="auto"/>
        <w:ind w:firstLine="426"/>
        <w:contextualSpacing/>
        <w:rPr>
          <w:rFonts w:ascii="Times New Roman" w:eastAsia="Times New Roman"/>
          <w:sz w:val="24"/>
          <w:szCs w:val="24"/>
        </w:rPr>
      </w:pPr>
      <w:r w:rsidRPr="008D16E1">
        <w:rPr>
          <w:rFonts w:ascii="Times New Roman"/>
          <w:sz w:val="24"/>
          <w:szCs w:val="24"/>
        </w:rPr>
        <w:lastRenderedPageBreak/>
        <w:t xml:space="preserve">This study addresses these research gaps through three specific objectives: First, to develop and validate an integrated AI-driven predictive modeling framework that combines multiple machine learning algorithms (Random </w:t>
      </w:r>
      <w:r w:rsidR="00C23D9E">
        <w:rPr>
          <w:rFonts w:ascii="Times New Roman"/>
          <w:sz w:val="24"/>
          <w:szCs w:val="24"/>
        </w:rPr>
        <w:t>Forests, Support Vector Machines, Artificial Neural Networks, and Gradient Boosting) to assess</w:t>
      </w:r>
      <w:r w:rsidRPr="008D16E1">
        <w:rPr>
          <w:rFonts w:ascii="Times New Roman"/>
          <w:sz w:val="24"/>
          <w:szCs w:val="24"/>
        </w:rPr>
        <w:t xml:space="preserve"> multidimensional rural economic resilience. Second, to systematically quantify the relative importance and interaction effects of digital infrastructure, economic diversification, financial access, human capital, and social capital in determining village resilience outcomes. Third, to design and empirically test implementation pathways for integrating AI-generated analytical insights with existing participatory village planning processes, ensuring that technological capabilities translate into actionable development strategies that respect local agency and contextual knowledge.</w:t>
      </w:r>
    </w:p>
    <w:p w14:paraId="2374D56F" w14:textId="20295BB3" w:rsidR="00174E4E" w:rsidRPr="008D16E1" w:rsidRDefault="00562BB2" w:rsidP="00174E4E">
      <w:pPr>
        <w:spacing w:line="276" w:lineRule="auto"/>
        <w:ind w:firstLine="426"/>
        <w:contextualSpacing/>
        <w:rPr>
          <w:rFonts w:ascii="Times New Roman" w:eastAsia="Times New Roman"/>
          <w:sz w:val="24"/>
          <w:szCs w:val="24"/>
        </w:rPr>
      </w:pPr>
      <w:r w:rsidRPr="008D16E1">
        <w:rPr>
          <w:rFonts w:ascii="Times New Roman"/>
          <w:sz w:val="24"/>
          <w:szCs w:val="24"/>
        </w:rPr>
        <w:t xml:space="preserve">The implications of this research extend across theoretical, methodological, and practical domains. Theoretically, this work advances resilience theory by empirically demonstrating the </w:t>
      </w:r>
      <w:r w:rsidR="00C23D9E">
        <w:rPr>
          <w:rFonts w:ascii="Times New Roman"/>
          <w:sz w:val="24"/>
          <w:szCs w:val="24"/>
        </w:rPr>
        <w:t>nonlinear</w:t>
      </w:r>
      <w:r w:rsidR="00A621DD">
        <w:rPr>
          <w:rFonts w:ascii="Times New Roman"/>
          <w:sz w:val="24"/>
          <w:szCs w:val="24"/>
        </w:rPr>
        <w:t xml:space="preserve">, threshold-dependent relationships among resilience determinants, thereby </w:t>
      </w:r>
      <w:r w:rsidR="00C23D9E">
        <w:rPr>
          <w:rFonts w:ascii="Times New Roman"/>
          <w:sz w:val="24"/>
          <w:szCs w:val="24"/>
        </w:rPr>
        <w:t xml:space="preserve">challenging linear assumptions in the </w:t>
      </w:r>
      <w:r w:rsidRPr="008D16E1">
        <w:rPr>
          <w:rFonts w:ascii="Times New Roman"/>
          <w:sz w:val="24"/>
          <w:szCs w:val="24"/>
        </w:rPr>
        <w:t xml:space="preserve">rural development literature. Methodologically, the study establishes protocols for validating AI model predictions through participatory stakeholder engagement, addressing persistent concerns about algorithmic transparency and community acceptance in development contexts. </w:t>
      </w:r>
      <w:r w:rsidR="00C23D9E">
        <w:rPr>
          <w:rFonts w:ascii="Times New Roman"/>
          <w:sz w:val="24"/>
          <w:szCs w:val="24"/>
        </w:rPr>
        <w:t>In practice, the research provides government agencies and development practitioners with evidence-based frameworks for prioritizing infrastructure investments, allocating limited resources to</w:t>
      </w:r>
      <w:r w:rsidRPr="008D16E1">
        <w:rPr>
          <w:rFonts w:ascii="Times New Roman"/>
          <w:sz w:val="24"/>
          <w:szCs w:val="24"/>
        </w:rPr>
        <w:t xml:space="preserve"> high-leverage interventions, and designing digital transformation strategies tailored to rural constraints and opportunities.</w:t>
      </w:r>
    </w:p>
    <w:p w14:paraId="5350BDED" w14:textId="77777777" w:rsidR="00174E4E" w:rsidRDefault="00174E4E">
      <w:pPr>
        <w:spacing w:line="276" w:lineRule="auto"/>
      </w:pPr>
    </w:p>
    <w:p w14:paraId="7A8DAB88" w14:textId="542CBCB8" w:rsidR="004C0841" w:rsidRPr="008D16E1" w:rsidRDefault="00181BDB">
      <w:pPr>
        <w:spacing w:line="276" w:lineRule="auto"/>
        <w:rPr>
          <w:rFonts w:ascii="Times New Roman" w:eastAsia="Times New Roman"/>
          <w:b/>
          <w:sz w:val="24"/>
          <w:szCs w:val="24"/>
        </w:rPr>
      </w:pPr>
      <w:r w:rsidRPr="008D16E1">
        <w:rPr>
          <w:rFonts w:ascii="Times New Roman" w:eastAsia="Times New Roman"/>
          <w:b/>
          <w:sz w:val="24"/>
          <w:szCs w:val="24"/>
        </w:rPr>
        <w:t xml:space="preserve">RESEARCH METHOD </w:t>
      </w:r>
    </w:p>
    <w:p w14:paraId="295F3457" w14:textId="11995148" w:rsidR="004C0841" w:rsidRPr="008D16E1" w:rsidRDefault="00181BDB" w:rsidP="00174E4E">
      <w:pPr>
        <w:spacing w:line="276" w:lineRule="auto"/>
        <w:ind w:firstLine="426"/>
        <w:rPr>
          <w:rFonts w:ascii="Times New Roman" w:eastAsia="Times New Roman"/>
          <w:sz w:val="24"/>
          <w:szCs w:val="24"/>
        </w:rPr>
      </w:pPr>
      <w:r w:rsidRPr="008D16E1">
        <w:rPr>
          <w:rFonts w:ascii="Times New Roman" w:eastAsia="Times New Roman"/>
          <w:sz w:val="24"/>
          <w:szCs w:val="24"/>
        </w:rPr>
        <w:t xml:space="preserve">This study uses a mixed-methods explanatory research design, combining machine learning and spatial analysis to develop an AI-driven </w:t>
      </w:r>
      <w:r w:rsidR="00A621DD">
        <w:rPr>
          <w:rFonts w:ascii="Times New Roman" w:eastAsia="Times New Roman"/>
          <w:sz w:val="24"/>
          <w:szCs w:val="24"/>
        </w:rPr>
        <w:t>village-planning framework that enhances</w:t>
      </w:r>
      <w:r w:rsidRPr="008D16E1">
        <w:rPr>
          <w:rFonts w:ascii="Times New Roman" w:eastAsia="Times New Roman"/>
          <w:sz w:val="24"/>
          <w:szCs w:val="24"/>
        </w:rPr>
        <w:t xml:space="preserve"> rural economic resilience. The research integrates three core analytical components: (1) geospatial analysis using Geographic Information Systems (GIS) to map territorial characteristics and spatial distributions; (2) machine learning algorithms to identify patterns and predict resilience levels; and (3) statistical validation procedures to ensure model accuracy. A longitudinal panel data approach is employed to examine rural development indicators over time, allowing for the capture of dynamic patterns and trends that inform predictive models.</w:t>
      </w:r>
    </w:p>
    <w:p w14:paraId="5AE582E6" w14:textId="139BFC47" w:rsidR="004C0841" w:rsidRPr="008D16E1" w:rsidRDefault="00181BDB" w:rsidP="00174E4E">
      <w:pPr>
        <w:spacing w:line="276" w:lineRule="auto"/>
        <w:ind w:firstLine="426"/>
        <w:rPr>
          <w:rFonts w:ascii="Times New Roman" w:eastAsia="Times New Roman"/>
          <w:sz w:val="24"/>
          <w:szCs w:val="24"/>
        </w:rPr>
      </w:pPr>
      <w:r w:rsidRPr="008D16E1">
        <w:rPr>
          <w:rFonts w:ascii="Times New Roman" w:eastAsia="Times New Roman"/>
          <w:sz w:val="24"/>
          <w:szCs w:val="24"/>
        </w:rPr>
        <w:t>The study targets rural villages in emerging regions characterized by economic vulnerability and limited infrastructure. Stratified random sampling is used, leveraging GIS-based spatial technology to ensure diverse representation across geographic strata and development categories. Data is gathered from multiple sources, including government statistical databases, satellite imagery, socio-economic surveys, and ecological data, encompassing indicators across economic, social, ecological, and institutional dimensions. Data collection follows a systematic</w:t>
      </w:r>
      <w:r w:rsidR="00C23D9E">
        <w:rPr>
          <w:rFonts w:ascii="Times New Roman" w:eastAsia="Times New Roman"/>
          <w:sz w:val="24"/>
          <w:szCs w:val="24"/>
        </w:rPr>
        <w:t xml:space="preserve">, multi-stage protocol that involves remote sensing, field verification, and the </w:t>
      </w:r>
      <w:r w:rsidRPr="008D16E1">
        <w:rPr>
          <w:rFonts w:ascii="Times New Roman" w:eastAsia="Times New Roman"/>
          <w:sz w:val="24"/>
          <w:szCs w:val="24"/>
        </w:rPr>
        <w:t>integration of datasets from national and local agencies.</w:t>
      </w:r>
    </w:p>
    <w:p w14:paraId="5F6F93BC" w14:textId="235D3978" w:rsidR="004C0841" w:rsidRPr="008D16E1" w:rsidRDefault="00181BDB" w:rsidP="00174E4E">
      <w:pPr>
        <w:spacing w:line="276" w:lineRule="auto"/>
        <w:ind w:firstLine="426"/>
        <w:rPr>
          <w:rFonts w:ascii="Times New Roman" w:eastAsia="Times New Roman"/>
          <w:sz w:val="24"/>
          <w:szCs w:val="24"/>
        </w:rPr>
      </w:pPr>
      <w:r w:rsidRPr="008D16E1">
        <w:rPr>
          <w:rFonts w:ascii="Times New Roman" w:eastAsia="Times New Roman"/>
          <w:sz w:val="24"/>
          <w:szCs w:val="24"/>
        </w:rPr>
        <w:lastRenderedPageBreak/>
        <w:t xml:space="preserve">For data analysis, the study employs ensemble machine learning methods, integrating algorithms </w:t>
      </w:r>
      <w:r w:rsidR="00C23D9E">
        <w:rPr>
          <w:rFonts w:ascii="Times New Roman" w:eastAsia="Times New Roman"/>
          <w:sz w:val="24"/>
          <w:szCs w:val="24"/>
        </w:rPr>
        <w:t>such as Random Forests (RF), Support Vector Machines (SVM), Artificial Neural Networks (ANN), and gradient boosting,</w:t>
      </w:r>
      <w:r w:rsidRPr="008D16E1">
        <w:rPr>
          <w:rFonts w:ascii="Times New Roman" w:eastAsia="Times New Roman"/>
          <w:sz w:val="24"/>
          <w:szCs w:val="24"/>
        </w:rPr>
        <w:t xml:space="preserve"> for robust predictions. Spatial analysis utilizes GIS tools to assess spatial dependencies and identify resilience patterns, applying techniques such as spatial autocorrelation and regression models. Model performance is evaluated using cross-validation, accuracy metrics, and comparison to baseline models to establish predictive accuracy. Computational procedures are executed using Python, R, and ArcGIS Pro, facilitating advanced machine learning and geospatial analysis for the study.</w:t>
      </w:r>
    </w:p>
    <w:p w14:paraId="33DFA2CD" w14:textId="77777777" w:rsidR="004C0841" w:rsidRDefault="004C0841">
      <w:pPr>
        <w:spacing w:line="276" w:lineRule="auto"/>
        <w:rPr>
          <w:rFonts w:ascii="Cambria Math" w:hAnsi="Cambria Math"/>
          <w:b/>
          <w:sz w:val="24"/>
          <w:szCs w:val="24"/>
        </w:rPr>
      </w:pPr>
    </w:p>
    <w:p w14:paraId="270FCB1A" w14:textId="77777777" w:rsidR="004C0841" w:rsidRPr="008D16E1" w:rsidRDefault="00181BDB">
      <w:pPr>
        <w:spacing w:line="276" w:lineRule="auto"/>
        <w:rPr>
          <w:rFonts w:ascii="Times New Roman"/>
          <w:b/>
          <w:sz w:val="24"/>
          <w:szCs w:val="24"/>
        </w:rPr>
      </w:pPr>
      <w:r w:rsidRPr="008D16E1">
        <w:rPr>
          <w:rFonts w:ascii="Times New Roman"/>
          <w:b/>
          <w:sz w:val="24"/>
          <w:szCs w:val="24"/>
        </w:rPr>
        <w:t>RESULT AND DISCUSSION</w:t>
      </w:r>
    </w:p>
    <w:p w14:paraId="2C50261F" w14:textId="7D8F31C4" w:rsidR="004C0841" w:rsidRPr="008D16E1" w:rsidRDefault="00174E4E">
      <w:pPr>
        <w:spacing w:line="276" w:lineRule="auto"/>
        <w:contextualSpacing/>
        <w:rPr>
          <w:rFonts w:ascii="Times New Roman" w:eastAsia="Times New Roman"/>
          <w:b/>
          <w:bCs/>
          <w:sz w:val="24"/>
          <w:szCs w:val="24"/>
        </w:rPr>
      </w:pPr>
      <w:r w:rsidRPr="008D16E1">
        <w:rPr>
          <w:rFonts w:ascii="Times New Roman" w:eastAsia="Times New Roman"/>
          <w:b/>
          <w:bCs/>
          <w:sz w:val="24"/>
          <w:szCs w:val="24"/>
        </w:rPr>
        <w:t>1. </w:t>
      </w:r>
      <w:r w:rsidR="00181BDB" w:rsidRPr="008D16E1">
        <w:rPr>
          <w:rFonts w:ascii="Times New Roman" w:eastAsia="Times New Roman"/>
          <w:b/>
          <w:bCs/>
          <w:sz w:val="24"/>
          <w:szCs w:val="24"/>
        </w:rPr>
        <w:t>Predictive Model Performance in Mapping Village Economic Resilience</w:t>
      </w:r>
    </w:p>
    <w:p w14:paraId="62E2F9FD" w14:textId="35CD1F8A"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initial phase of this research focused on developing an artificial intelligence-based predictive model to assess the Village Economic Resilience Index (VERI) across five rural communities over </w:t>
      </w:r>
      <w:r w:rsidR="00C23D9E">
        <w:rPr>
          <w:rFonts w:ascii="Times New Roman" w:eastAsia="Times New Roman"/>
          <w:sz w:val="24"/>
          <w:szCs w:val="24"/>
        </w:rPr>
        <w:t>six months</w:t>
      </w:r>
      <w:r w:rsidRPr="008D16E1">
        <w:rPr>
          <w:rFonts w:ascii="Times New Roman" w:eastAsia="Times New Roman"/>
          <w:sz w:val="24"/>
          <w:szCs w:val="24"/>
        </w:rPr>
        <w:t xml:space="preserve"> from March to August 2024. The model incorporated multiple resilience dimensions, including digital infrastructure accessibility, income source diversification, financial service access, human resource quality, and physical connectivity. Ensemble machine learning techniques, specifically Random Forest Regression and Gradient Boosting algorithms, were employed and compared </w:t>
      </w:r>
      <w:r w:rsidR="00C23D9E">
        <w:rPr>
          <w:rFonts w:ascii="Times New Roman" w:eastAsia="Times New Roman"/>
          <w:sz w:val="24"/>
          <w:szCs w:val="24"/>
        </w:rPr>
        <w:t>with traditional linear regression models as a baseline for performance evaluation</w:t>
      </w:r>
      <w:r w:rsidRPr="008D16E1">
        <w:rPr>
          <w:rFonts w:ascii="Times New Roman" w:eastAsia="Times New Roman"/>
          <w:sz w:val="24"/>
          <w:szCs w:val="24"/>
        </w:rPr>
        <w:t>.</w:t>
      </w:r>
    </w:p>
    <w:p w14:paraId="05938D06" w14:textId="0D38CC95"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model development process involved several iterative stages, starting with data preprocessing, </w:t>
      </w:r>
      <w:r w:rsidR="00C23D9E">
        <w:rPr>
          <w:rFonts w:ascii="Times New Roman" w:eastAsia="Times New Roman"/>
          <w:sz w:val="24"/>
          <w:szCs w:val="24"/>
        </w:rPr>
        <w:t xml:space="preserve">including standardization, one-hot encoding for categorical variables, and multiple imputation </w:t>
      </w:r>
      <w:r w:rsidRPr="008D16E1">
        <w:rPr>
          <w:rFonts w:ascii="Times New Roman" w:eastAsia="Times New Roman"/>
          <w:sz w:val="24"/>
          <w:szCs w:val="24"/>
        </w:rPr>
        <w:t xml:space="preserve">to handle missing data. A dataset of 180 household-level observations (36 households per village) was collected across 23 resilience indicators, supplemented by village-level administrative and satellite imagery data. Data quality assessments revealed varying completeness rates across villages, from 94% in the peri-urban Village A to 67% in the remote Village C, </w:t>
      </w:r>
      <w:r w:rsidR="00C23D9E">
        <w:rPr>
          <w:rFonts w:ascii="Times New Roman" w:eastAsia="Times New Roman"/>
          <w:sz w:val="24"/>
          <w:szCs w:val="24"/>
        </w:rPr>
        <w:t xml:space="preserve">highlighting the need to address </w:t>
      </w:r>
      <w:r w:rsidRPr="008D16E1">
        <w:rPr>
          <w:rFonts w:ascii="Times New Roman" w:eastAsia="Times New Roman"/>
          <w:sz w:val="24"/>
          <w:szCs w:val="24"/>
        </w:rPr>
        <w:t>potential measurement bias. The training-testing split employed a stratified approach</w:t>
      </w:r>
      <w:r w:rsidR="00C23D9E">
        <w:rPr>
          <w:rFonts w:ascii="Times New Roman" w:eastAsia="Times New Roman"/>
          <w:sz w:val="24"/>
          <w:szCs w:val="24"/>
        </w:rPr>
        <w:t xml:space="preserve"> to ensure</w:t>
      </w:r>
      <w:r w:rsidRPr="008D16E1">
        <w:rPr>
          <w:rFonts w:ascii="Times New Roman" w:eastAsia="Times New Roman"/>
          <w:sz w:val="24"/>
          <w:szCs w:val="24"/>
        </w:rPr>
        <w:t xml:space="preserve"> proportional representation of village types, and a grid search for hyperparameter optimization, which required 48 hours of computational time.</w:t>
      </w:r>
    </w:p>
    <w:p w14:paraId="694A729D" w14:textId="3F057FEC" w:rsidR="004C084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Model performance evaluation showed a marked superiority of machine learning techniques over linear regression. The Gradient Boosting model achieved an R-squared value of 0.84, explaining 84% of the variance in resilience scores, with </w:t>
      </w:r>
      <w:r w:rsidR="00C23D9E">
        <w:rPr>
          <w:rFonts w:ascii="Times New Roman" w:eastAsia="Times New Roman"/>
          <w:sz w:val="24"/>
          <w:szCs w:val="24"/>
        </w:rPr>
        <w:t xml:space="preserve">an RMSE of 5.80 and an </w:t>
      </w:r>
      <w:r w:rsidRPr="008D16E1">
        <w:rPr>
          <w:rFonts w:ascii="Times New Roman" w:eastAsia="Times New Roman"/>
          <w:sz w:val="24"/>
          <w:szCs w:val="24"/>
        </w:rPr>
        <w:t xml:space="preserve">MAE of 4.10. Random Forest Regression </w:t>
      </w:r>
      <w:r w:rsidR="00C23D9E">
        <w:rPr>
          <w:rFonts w:ascii="Times New Roman" w:eastAsia="Times New Roman"/>
          <w:sz w:val="24"/>
          <w:szCs w:val="24"/>
        </w:rPr>
        <w:t>yielded results comparable to those of</w:t>
      </w:r>
      <w:r w:rsidRPr="008D16E1">
        <w:rPr>
          <w:rFonts w:ascii="Times New Roman" w:eastAsia="Times New Roman"/>
          <w:sz w:val="24"/>
          <w:szCs w:val="24"/>
        </w:rPr>
        <w:t xml:space="preserve"> R² of 0.81, RMSE of 6.20, and MAE of 4.50, offering advantages in computational speed and interpretability. In contrast, traditional linear regression underperformed with an R² of 0.48, RMSE of 12.30, and MAE of 9.10, highlighting the limitations of linear models in capturing the complexity of rural economic resilience.</w:t>
      </w:r>
    </w:p>
    <w:p w14:paraId="51CB9DCB" w14:textId="77777777" w:rsidR="008D16E1" w:rsidRDefault="008D16E1" w:rsidP="00174E4E">
      <w:pPr>
        <w:spacing w:line="276" w:lineRule="auto"/>
        <w:ind w:firstLine="426"/>
        <w:contextualSpacing/>
        <w:rPr>
          <w:rFonts w:ascii="Times New Roman" w:eastAsia="Times New Roman"/>
          <w:sz w:val="24"/>
          <w:szCs w:val="24"/>
        </w:rPr>
      </w:pPr>
    </w:p>
    <w:p w14:paraId="17BDA130" w14:textId="77777777" w:rsidR="008D16E1" w:rsidRDefault="008D16E1" w:rsidP="00174E4E">
      <w:pPr>
        <w:spacing w:line="276" w:lineRule="auto"/>
        <w:ind w:firstLine="426"/>
        <w:contextualSpacing/>
        <w:rPr>
          <w:rFonts w:ascii="Times New Roman" w:eastAsia="Times New Roman"/>
          <w:sz w:val="24"/>
          <w:szCs w:val="24"/>
        </w:rPr>
      </w:pPr>
    </w:p>
    <w:p w14:paraId="2B6ED83D" w14:textId="77777777" w:rsidR="008D16E1" w:rsidRPr="008D16E1" w:rsidRDefault="008D16E1" w:rsidP="00174E4E">
      <w:pPr>
        <w:spacing w:line="276" w:lineRule="auto"/>
        <w:ind w:firstLine="426"/>
        <w:contextualSpacing/>
        <w:rPr>
          <w:rFonts w:ascii="Times New Roman" w:eastAsia="Times New Roman"/>
          <w:sz w:val="24"/>
          <w:szCs w:val="24"/>
        </w:rPr>
      </w:pPr>
    </w:p>
    <w:p w14:paraId="75A4AB99" w14:textId="77777777" w:rsidR="004C0841" w:rsidRPr="008D16E1" w:rsidRDefault="004C0841">
      <w:pPr>
        <w:spacing w:line="276" w:lineRule="auto"/>
        <w:contextualSpacing/>
        <w:rPr>
          <w:rFonts w:ascii="Times New Roman" w:eastAsia="Times New Roman"/>
          <w:sz w:val="24"/>
          <w:szCs w:val="24"/>
        </w:rPr>
      </w:pPr>
    </w:p>
    <w:p w14:paraId="681BD49D" w14:textId="23532A9C" w:rsidR="004C0841" w:rsidRPr="008D16E1" w:rsidRDefault="00181BDB">
      <w:pPr>
        <w:spacing w:line="276" w:lineRule="auto"/>
        <w:contextualSpacing/>
        <w:jc w:val="center"/>
        <w:rPr>
          <w:rFonts w:ascii="Times New Roman" w:eastAsia="Times New Roman"/>
          <w:sz w:val="24"/>
          <w:szCs w:val="24"/>
        </w:rPr>
      </w:pPr>
      <w:r w:rsidRPr="008D16E1">
        <w:rPr>
          <w:rFonts w:ascii="Times New Roman" w:eastAsia="Times New Roman"/>
          <w:b/>
          <w:bCs/>
          <w:sz w:val="24"/>
          <w:szCs w:val="24"/>
        </w:rPr>
        <w:lastRenderedPageBreak/>
        <w:t>Table 1</w:t>
      </w:r>
      <w:r w:rsidR="00174E4E" w:rsidRPr="008D16E1">
        <w:rPr>
          <w:rFonts w:ascii="Times New Roman" w:eastAsia="Times New Roman"/>
          <w:b/>
          <w:bCs/>
          <w:sz w:val="24"/>
          <w:szCs w:val="24"/>
        </w:rPr>
        <w:t>. </w:t>
      </w:r>
      <w:r w:rsidRPr="008D16E1">
        <w:rPr>
          <w:rFonts w:ascii="Times New Roman" w:eastAsia="Times New Roman"/>
          <w:sz w:val="24"/>
          <w:szCs w:val="24"/>
        </w:rPr>
        <w:t>Comparative Performance of Predictive Models for Village Economic Resilience Index</w:t>
      </w:r>
    </w:p>
    <w:p w14:paraId="0EB8743D" w14:textId="77777777" w:rsidR="004C0841" w:rsidRPr="008D16E1" w:rsidRDefault="00181BDB">
      <w:pPr>
        <w:spacing w:line="276" w:lineRule="auto"/>
        <w:contextualSpacing/>
        <w:outlineLvl w:val="2"/>
        <w:rPr>
          <w:rFonts w:ascii="Times New Roman" w:eastAsia="Times New Roman"/>
          <w:b/>
          <w:bCs/>
          <w:sz w:val="24"/>
          <w:szCs w:val="24"/>
        </w:rPr>
      </w:pPr>
      <w:r w:rsidRPr="008D16E1">
        <w:rPr>
          <w:rFonts w:ascii="Times New Roman" w:eastAsia="Times New Roman"/>
          <w:b/>
          <w:bCs/>
          <w:sz w:val="24"/>
          <w:szCs w:val="24"/>
        </w:rPr>
        <w:t>Model Performance Comparison</w:t>
      </w:r>
    </w:p>
    <w:tbl>
      <w:tblPr>
        <w:tblStyle w:val="KisiTabe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732"/>
        <w:gridCol w:w="999"/>
        <w:gridCol w:w="852"/>
        <w:gridCol w:w="730"/>
        <w:gridCol w:w="1547"/>
        <w:gridCol w:w="1693"/>
      </w:tblGrid>
      <w:tr w:rsidR="004C0841" w:rsidRPr="008D16E1" w14:paraId="5351C71C" w14:textId="77777777" w:rsidTr="00174E4E">
        <w:trPr>
          <w:jc w:val="center"/>
        </w:trPr>
        <w:tc>
          <w:tcPr>
            <w:tcW w:w="0" w:type="auto"/>
          </w:tcPr>
          <w:p w14:paraId="554FFC89"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Model Type</w:t>
            </w:r>
          </w:p>
        </w:tc>
        <w:tc>
          <w:tcPr>
            <w:tcW w:w="0" w:type="auto"/>
          </w:tcPr>
          <w:p w14:paraId="7897EC55"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R² Score</w:t>
            </w:r>
          </w:p>
        </w:tc>
        <w:tc>
          <w:tcPr>
            <w:tcW w:w="0" w:type="auto"/>
          </w:tcPr>
          <w:p w14:paraId="77526D8A"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RMSE</w:t>
            </w:r>
          </w:p>
        </w:tc>
        <w:tc>
          <w:tcPr>
            <w:tcW w:w="0" w:type="auto"/>
          </w:tcPr>
          <w:p w14:paraId="3041404B"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MAE</w:t>
            </w:r>
          </w:p>
        </w:tc>
        <w:tc>
          <w:tcPr>
            <w:tcW w:w="0" w:type="auto"/>
          </w:tcPr>
          <w:p w14:paraId="524C4C25"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Training Time</w:t>
            </w:r>
          </w:p>
        </w:tc>
        <w:tc>
          <w:tcPr>
            <w:tcW w:w="0" w:type="auto"/>
          </w:tcPr>
          <w:p w14:paraId="54120B8B"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Prediction Time</w:t>
            </w:r>
          </w:p>
        </w:tc>
      </w:tr>
      <w:tr w:rsidR="004C0841" w:rsidRPr="008D16E1" w14:paraId="26B57B42" w14:textId="77777777" w:rsidTr="00174E4E">
        <w:trPr>
          <w:jc w:val="center"/>
        </w:trPr>
        <w:tc>
          <w:tcPr>
            <w:tcW w:w="0" w:type="auto"/>
          </w:tcPr>
          <w:p w14:paraId="0350616E"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Linear Regression (Baseline)</w:t>
            </w:r>
          </w:p>
        </w:tc>
        <w:tc>
          <w:tcPr>
            <w:tcW w:w="0" w:type="auto"/>
          </w:tcPr>
          <w:p w14:paraId="3DB66DC9"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0.48</w:t>
            </w:r>
          </w:p>
        </w:tc>
        <w:tc>
          <w:tcPr>
            <w:tcW w:w="0" w:type="auto"/>
          </w:tcPr>
          <w:p w14:paraId="1A9E9409"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12.30</w:t>
            </w:r>
          </w:p>
        </w:tc>
        <w:tc>
          <w:tcPr>
            <w:tcW w:w="0" w:type="auto"/>
          </w:tcPr>
          <w:p w14:paraId="50A1E9D8"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9.10</w:t>
            </w:r>
          </w:p>
        </w:tc>
        <w:tc>
          <w:tcPr>
            <w:tcW w:w="0" w:type="auto"/>
          </w:tcPr>
          <w:p w14:paraId="6E94F5BB"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2.3 seconds</w:t>
            </w:r>
          </w:p>
        </w:tc>
        <w:tc>
          <w:tcPr>
            <w:tcW w:w="0" w:type="auto"/>
          </w:tcPr>
          <w:p w14:paraId="63A40735"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0.01 seconds</w:t>
            </w:r>
          </w:p>
        </w:tc>
      </w:tr>
      <w:tr w:rsidR="004C0841" w:rsidRPr="008D16E1" w14:paraId="4EC0AF3C" w14:textId="77777777" w:rsidTr="00174E4E">
        <w:trPr>
          <w:jc w:val="center"/>
        </w:trPr>
        <w:tc>
          <w:tcPr>
            <w:tcW w:w="0" w:type="auto"/>
          </w:tcPr>
          <w:p w14:paraId="1B46683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Random Forest Regression</w:t>
            </w:r>
          </w:p>
        </w:tc>
        <w:tc>
          <w:tcPr>
            <w:tcW w:w="0" w:type="auto"/>
          </w:tcPr>
          <w:p w14:paraId="771A077C"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0.81</w:t>
            </w:r>
          </w:p>
        </w:tc>
        <w:tc>
          <w:tcPr>
            <w:tcW w:w="0" w:type="auto"/>
          </w:tcPr>
          <w:p w14:paraId="3C9E0EA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6.20</w:t>
            </w:r>
          </w:p>
        </w:tc>
        <w:tc>
          <w:tcPr>
            <w:tcW w:w="0" w:type="auto"/>
          </w:tcPr>
          <w:p w14:paraId="16A4875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4.50</w:t>
            </w:r>
          </w:p>
        </w:tc>
        <w:tc>
          <w:tcPr>
            <w:tcW w:w="0" w:type="auto"/>
          </w:tcPr>
          <w:p w14:paraId="40E7EAD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18.7 seconds</w:t>
            </w:r>
          </w:p>
        </w:tc>
        <w:tc>
          <w:tcPr>
            <w:tcW w:w="0" w:type="auto"/>
          </w:tcPr>
          <w:p w14:paraId="1C283D3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0.15 seconds</w:t>
            </w:r>
          </w:p>
        </w:tc>
      </w:tr>
      <w:tr w:rsidR="004C0841" w:rsidRPr="008D16E1" w14:paraId="49D1D70B" w14:textId="77777777" w:rsidTr="00174E4E">
        <w:trPr>
          <w:jc w:val="center"/>
        </w:trPr>
        <w:tc>
          <w:tcPr>
            <w:tcW w:w="0" w:type="auto"/>
          </w:tcPr>
          <w:p w14:paraId="510F653E"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Gradient Boosting Regression</w:t>
            </w:r>
          </w:p>
        </w:tc>
        <w:tc>
          <w:tcPr>
            <w:tcW w:w="0" w:type="auto"/>
          </w:tcPr>
          <w:p w14:paraId="56ABCA3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0.84</w:t>
            </w:r>
          </w:p>
        </w:tc>
        <w:tc>
          <w:tcPr>
            <w:tcW w:w="0" w:type="auto"/>
          </w:tcPr>
          <w:p w14:paraId="1778D5BB"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5.80</w:t>
            </w:r>
          </w:p>
        </w:tc>
        <w:tc>
          <w:tcPr>
            <w:tcW w:w="0" w:type="auto"/>
          </w:tcPr>
          <w:p w14:paraId="11AC1A30"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4.10</w:t>
            </w:r>
          </w:p>
        </w:tc>
        <w:tc>
          <w:tcPr>
            <w:tcW w:w="0" w:type="auto"/>
          </w:tcPr>
          <w:p w14:paraId="12756035"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31.4 seconds</w:t>
            </w:r>
          </w:p>
        </w:tc>
        <w:tc>
          <w:tcPr>
            <w:tcW w:w="0" w:type="auto"/>
          </w:tcPr>
          <w:p w14:paraId="3BF890A5"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0.08 seconds</w:t>
            </w:r>
          </w:p>
        </w:tc>
      </w:tr>
    </w:tbl>
    <w:p w14:paraId="0D85B841" w14:textId="6748BA0D" w:rsidR="004C0841" w:rsidRPr="008D16E1" w:rsidRDefault="00181BDB">
      <w:pPr>
        <w:spacing w:line="276" w:lineRule="auto"/>
        <w:contextualSpacing/>
        <w:rPr>
          <w:rFonts w:ascii="Times New Roman" w:eastAsia="Times New Roman"/>
          <w:sz w:val="24"/>
          <w:szCs w:val="24"/>
        </w:rPr>
      </w:pPr>
      <w:r w:rsidRPr="008D16E1">
        <w:rPr>
          <w:rFonts w:ascii="Times New Roman" w:eastAsia="Times New Roman"/>
          <w:sz w:val="24"/>
          <w:szCs w:val="24"/>
        </w:rPr>
        <w:t>Note: R² = Coefficient of Determination; RMSE = Root Mean Square Error; MAE = Mean Absolute Error</w:t>
      </w:r>
      <w:r w:rsidR="00C23D9E">
        <w:rPr>
          <w:rFonts w:ascii="Times New Roman" w:eastAsia="Times New Roman"/>
          <w:sz w:val="24"/>
          <w:szCs w:val="24"/>
        </w:rPr>
        <w:t>.</w:t>
      </w:r>
      <w:r w:rsidR="00562BB2" w:rsidRPr="008D16E1">
        <w:rPr>
          <w:rFonts w:ascii="Times New Roman" w:eastAsia="Times New Roman"/>
          <w:sz w:val="24"/>
          <w:szCs w:val="24"/>
        </w:rPr>
        <w:t xml:space="preserve"> </w:t>
      </w:r>
      <w:r w:rsidRPr="008D16E1">
        <w:rPr>
          <w:rFonts w:ascii="Times New Roman" w:eastAsia="Times New Roman"/>
          <w:sz w:val="24"/>
          <w:szCs w:val="24"/>
        </w:rPr>
        <w:t xml:space="preserve">All metrics calculated on 30% holdout test set (n=54 household observations across </w:t>
      </w:r>
      <w:r w:rsidR="00C23D9E">
        <w:rPr>
          <w:rFonts w:ascii="Times New Roman" w:eastAsia="Times New Roman"/>
          <w:sz w:val="24"/>
          <w:szCs w:val="24"/>
        </w:rPr>
        <w:t>five</w:t>
      </w:r>
      <w:r w:rsidRPr="008D16E1">
        <w:rPr>
          <w:rFonts w:ascii="Times New Roman" w:eastAsia="Times New Roman"/>
          <w:sz w:val="24"/>
          <w:szCs w:val="24"/>
        </w:rPr>
        <w:t xml:space="preserve"> villages)</w:t>
      </w:r>
      <w:r w:rsidR="00562BB2" w:rsidRPr="008D16E1">
        <w:rPr>
          <w:rFonts w:ascii="Times New Roman" w:eastAsia="Times New Roman"/>
          <w:sz w:val="24"/>
          <w:szCs w:val="24"/>
        </w:rPr>
        <w:t xml:space="preserve">, </w:t>
      </w:r>
      <w:r w:rsidRPr="008D16E1">
        <w:rPr>
          <w:rFonts w:ascii="Times New Roman" w:eastAsia="Times New Roman"/>
          <w:sz w:val="24"/>
          <w:szCs w:val="24"/>
        </w:rPr>
        <w:t>VERI scale ranges from 0 (lowest resilience) to 100 (highest resilience)</w:t>
      </w:r>
    </w:p>
    <w:p w14:paraId="5DFA4711" w14:textId="77777777" w:rsidR="004C0841" w:rsidRPr="00174E4E" w:rsidRDefault="004C0841">
      <w:pPr>
        <w:spacing w:line="276" w:lineRule="auto"/>
        <w:contextualSpacing/>
        <w:rPr>
          <w:rFonts w:ascii="Cambria Math" w:eastAsia="Times New Roman" w:hAnsi="Cambria Math"/>
          <w:sz w:val="24"/>
          <w:szCs w:val="24"/>
        </w:rPr>
      </w:pPr>
    </w:p>
    <w:p w14:paraId="4109BFE3" w14:textId="4B286C3B"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substantial performance differential between AI-based models and traditional regression approaches carries profound conceptual implications for understanding rural development processes. The superior fit of non-linear ensemble methods empirically demonstrates that relationships between village characteristics and economic resilience involve complex interaction effects and threshold phenomena that linear assumptions fail to accommodate. For instance, the relationship between digital infrastructure access and economic resilience exhibits pronounced non-linearity: incremental improvements in connectivity generate minimal resilience gains when starting from very low baseline levels, but produce accelerating returns once certain threshold </w:t>
      </w:r>
      <w:r w:rsidR="00C23D9E">
        <w:rPr>
          <w:rFonts w:ascii="Times New Roman" w:eastAsia="Times New Roman"/>
          <w:sz w:val="24"/>
          <w:szCs w:val="24"/>
        </w:rPr>
        <w:t>levels of connectivity</w:t>
      </w:r>
      <w:r w:rsidRPr="008D16E1">
        <w:rPr>
          <w:rFonts w:ascii="Times New Roman" w:eastAsia="Times New Roman"/>
          <w:sz w:val="24"/>
          <w:szCs w:val="24"/>
        </w:rPr>
        <w:t xml:space="preserve"> enable participation in digital economies. Similarly, income diversification demonstrates diminishing marginal returns at high levels of diversification, suggesting optimal ranges rather than monotonic linear relationships.</w:t>
      </w:r>
    </w:p>
    <w:p w14:paraId="307B8483" w14:textId="42E6980C"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These non-linear patterns emerged clearly </w:t>
      </w:r>
      <w:r w:rsidR="00C23D9E">
        <w:rPr>
          <w:rFonts w:ascii="Times New Roman" w:eastAsia="Times New Roman"/>
          <w:sz w:val="24"/>
          <w:szCs w:val="24"/>
        </w:rPr>
        <w:t>from partial dependence plots generated by</w:t>
      </w:r>
      <w:r w:rsidRPr="008D16E1">
        <w:rPr>
          <w:rFonts w:ascii="Times New Roman" w:eastAsia="Times New Roman"/>
          <w:sz w:val="24"/>
          <w:szCs w:val="24"/>
        </w:rPr>
        <w:t xml:space="preserve"> the Random Forest model. Digital infrastructure scores below 30 (on </w:t>
      </w:r>
      <w:r w:rsidR="00C23D9E">
        <w:rPr>
          <w:rFonts w:ascii="Times New Roman" w:eastAsia="Times New Roman"/>
          <w:sz w:val="24"/>
          <w:szCs w:val="24"/>
        </w:rPr>
        <w:t xml:space="preserve">a 0-100 scale) showed nearly flat relationships with VERI, suggesting that minimal connectivity provides an </w:t>
      </w:r>
      <w:r w:rsidRPr="008D16E1">
        <w:rPr>
          <w:rFonts w:ascii="Times New Roman" w:eastAsia="Times New Roman"/>
          <w:sz w:val="24"/>
          <w:szCs w:val="24"/>
        </w:rPr>
        <w:t>insufficient foundation for digital economic participation. However, as infrastructure scores crossed the 40-50 threshold range, corresponding to reliable mobile internet access and basic digital literacy, the VERI response curve steepened dramatically, with each 10-point infrastructure improvement associated with 8-12 point VERI gains. Beyond infrastructure scores of 75, representing advanced digital ecosystems with high-speed broadband and widespread digital adoption, the curve plateaued as other factors became limiting constraints on further resilience enhancement.</w:t>
      </w:r>
    </w:p>
    <w:p w14:paraId="2EFDB4F3" w14:textId="77777777" w:rsidR="004C0841" w:rsidRPr="008D16E1" w:rsidRDefault="00181BDB">
      <w:pPr>
        <w:spacing w:line="276" w:lineRule="auto"/>
        <w:contextualSpacing/>
        <w:jc w:val="center"/>
        <w:rPr>
          <w:rFonts w:ascii="Times New Roman" w:eastAsia="Times New Roman"/>
          <w:b/>
          <w:bCs/>
          <w:sz w:val="24"/>
          <w:szCs w:val="24"/>
        </w:rPr>
      </w:pPr>
      <w:r w:rsidRPr="008D16E1">
        <w:rPr>
          <w:rFonts w:ascii="Times New Roman" w:eastAsia="Times New Roman"/>
          <w:b/>
          <w:bCs/>
          <w:noProof/>
          <w:sz w:val="24"/>
          <w:szCs w:val="24"/>
        </w:rPr>
        <w:lastRenderedPageBreak/>
        <w:drawing>
          <wp:inline distT="0" distB="0" distL="0" distR="0" wp14:anchorId="1E18D0B8" wp14:editId="390BE994">
            <wp:extent cx="2661920" cy="1920240"/>
            <wp:effectExtent l="0" t="0" r="5080" b="0"/>
            <wp:docPr id="504282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82827"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5055" cy="1951050"/>
                    </a:xfrm>
                    <a:prstGeom prst="rect">
                      <a:avLst/>
                    </a:prstGeom>
                  </pic:spPr>
                </pic:pic>
              </a:graphicData>
            </a:graphic>
          </wp:inline>
        </w:drawing>
      </w:r>
    </w:p>
    <w:p w14:paraId="0D9774D4" w14:textId="6A3D7667" w:rsidR="004C0841" w:rsidRPr="008D16E1" w:rsidRDefault="00181BDB">
      <w:pPr>
        <w:spacing w:line="276" w:lineRule="auto"/>
        <w:contextualSpacing/>
        <w:jc w:val="center"/>
        <w:rPr>
          <w:rFonts w:ascii="Times New Roman" w:eastAsia="Times New Roman"/>
          <w:sz w:val="24"/>
          <w:szCs w:val="24"/>
        </w:rPr>
      </w:pPr>
      <w:r w:rsidRPr="008D16E1">
        <w:rPr>
          <w:rFonts w:ascii="Times New Roman" w:eastAsia="Times New Roman"/>
          <w:b/>
          <w:bCs/>
          <w:sz w:val="24"/>
          <w:szCs w:val="24"/>
        </w:rPr>
        <w:t>Figure 1</w:t>
      </w:r>
      <w:r w:rsidR="00174E4E" w:rsidRPr="008D16E1">
        <w:rPr>
          <w:rFonts w:ascii="Times New Roman" w:eastAsia="Times New Roman"/>
          <w:b/>
          <w:bCs/>
          <w:sz w:val="24"/>
          <w:szCs w:val="24"/>
        </w:rPr>
        <w:t xml:space="preserve">. </w:t>
      </w:r>
      <w:r w:rsidRPr="008D16E1">
        <w:rPr>
          <w:rFonts w:ascii="Times New Roman" w:eastAsia="Times New Roman"/>
          <w:sz w:val="24"/>
          <w:szCs w:val="24"/>
        </w:rPr>
        <w:t>Scatter Plot of Actual vs. Predicted VERI Scores</w:t>
      </w:r>
    </w:p>
    <w:p w14:paraId="5650E759" w14:textId="77777777" w:rsidR="004C0841" w:rsidRPr="008D16E1" w:rsidRDefault="004C0841">
      <w:pPr>
        <w:spacing w:line="276" w:lineRule="auto"/>
        <w:contextualSpacing/>
        <w:rPr>
          <w:rFonts w:ascii="Times New Roman" w:eastAsia="Times New Roman"/>
          <w:sz w:val="24"/>
          <w:szCs w:val="24"/>
        </w:rPr>
      </w:pPr>
    </w:p>
    <w:p w14:paraId="2FE9B71B" w14:textId="54457914"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Model validation procedures extended beyond conventional train-test splits to address concerns about temporal stability and spatial transferability. Cross-validation across different time periods within the six-month study window revealed consistent performance (mean cross-validation R² = 0.79, standard deviation = 0.04), suggesting that models captured stable structural relationships rather than transient correlations. Spatial leave-one-village-out cross-validation, </w:t>
      </w:r>
      <w:r w:rsidR="00C23D9E">
        <w:rPr>
          <w:rFonts w:ascii="Times New Roman" w:eastAsia="Times New Roman"/>
          <w:sz w:val="24"/>
          <w:szCs w:val="24"/>
        </w:rPr>
        <w:t>in which models trained on four villages predicted outcomes for the withheld fifth village, yielded somewhat lower</w:t>
      </w:r>
      <w:r w:rsidRPr="008D16E1">
        <w:rPr>
          <w:rFonts w:ascii="Times New Roman" w:eastAsia="Times New Roman"/>
          <w:sz w:val="24"/>
          <w:szCs w:val="24"/>
        </w:rPr>
        <w:t xml:space="preserve"> performance (mean R² = 0.71) but remained substantially superior to linear approaches (R² = 0.42). This degradation in spatial transferability highlights the importance of contextual factors</w:t>
      </w:r>
      <w:r w:rsidR="00C23D9E">
        <w:rPr>
          <w:rFonts w:ascii="Times New Roman" w:eastAsia="Times New Roman"/>
          <w:sz w:val="24"/>
          <w:szCs w:val="24"/>
        </w:rPr>
        <w:t>. It suggests</w:t>
      </w:r>
      <w:r w:rsidRPr="008D16E1">
        <w:rPr>
          <w:rFonts w:ascii="Times New Roman" w:eastAsia="Times New Roman"/>
          <w:sz w:val="24"/>
          <w:szCs w:val="24"/>
        </w:rPr>
        <w:t xml:space="preserve"> that optimal model deployment would involve periodic recalibration as models encounter novel village contexts beyond training data distributions.</w:t>
      </w:r>
    </w:p>
    <w:p w14:paraId="2B448F9E" w14:textId="77777777" w:rsidR="004C0841" w:rsidRPr="008D16E1" w:rsidRDefault="004C0841">
      <w:pPr>
        <w:spacing w:line="276" w:lineRule="auto"/>
        <w:ind w:firstLine="567"/>
        <w:contextualSpacing/>
        <w:rPr>
          <w:rFonts w:ascii="Times New Roman" w:eastAsia="Times New Roman"/>
          <w:sz w:val="24"/>
          <w:szCs w:val="24"/>
        </w:rPr>
      </w:pPr>
    </w:p>
    <w:p w14:paraId="29791718" w14:textId="35D14663" w:rsidR="004C0841" w:rsidRPr="008D16E1" w:rsidRDefault="00174E4E">
      <w:pPr>
        <w:spacing w:line="276" w:lineRule="auto"/>
        <w:contextualSpacing/>
        <w:rPr>
          <w:rFonts w:ascii="Times New Roman" w:eastAsia="Times New Roman"/>
          <w:b/>
          <w:bCs/>
          <w:sz w:val="24"/>
          <w:szCs w:val="24"/>
        </w:rPr>
      </w:pPr>
      <w:r w:rsidRPr="008D16E1">
        <w:rPr>
          <w:rFonts w:ascii="Times New Roman" w:eastAsia="Times New Roman"/>
          <w:b/>
          <w:bCs/>
          <w:sz w:val="24"/>
          <w:szCs w:val="24"/>
        </w:rPr>
        <w:t>2. </w:t>
      </w:r>
      <w:r w:rsidR="00181BDB" w:rsidRPr="008D16E1">
        <w:rPr>
          <w:rFonts w:ascii="Times New Roman" w:eastAsia="Times New Roman"/>
          <w:b/>
          <w:bCs/>
          <w:sz w:val="24"/>
          <w:szCs w:val="24"/>
        </w:rPr>
        <w:t>Variable Contribution Analysis: Infrastructure, Social, and Economic Determinants of Resilience</w:t>
      </w:r>
    </w:p>
    <w:p w14:paraId="7E275D3F" w14:textId="7C67F9C7"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Building upon the predictive model framework, the </w:t>
      </w:r>
      <w:r w:rsidR="00C23D9E">
        <w:rPr>
          <w:rFonts w:ascii="Times New Roman" w:eastAsia="Times New Roman"/>
          <w:sz w:val="24"/>
          <w:szCs w:val="24"/>
        </w:rPr>
        <w:t>researchers</w:t>
      </w:r>
      <w:r w:rsidRPr="008D16E1">
        <w:rPr>
          <w:rFonts w:ascii="Times New Roman" w:eastAsia="Times New Roman"/>
          <w:sz w:val="24"/>
          <w:szCs w:val="24"/>
        </w:rPr>
        <w:t xml:space="preserve"> conducted </w:t>
      </w:r>
      <w:r w:rsidR="00C23D9E">
        <w:rPr>
          <w:rFonts w:ascii="Times New Roman" w:eastAsia="Times New Roman"/>
          <w:sz w:val="24"/>
          <w:szCs w:val="24"/>
        </w:rPr>
        <w:t xml:space="preserve">a </w:t>
      </w:r>
      <w:r w:rsidRPr="008D16E1">
        <w:rPr>
          <w:rFonts w:ascii="Times New Roman" w:eastAsia="Times New Roman"/>
          <w:sz w:val="24"/>
          <w:szCs w:val="24"/>
        </w:rPr>
        <w:t>systematic analysis of variable importance to identify which factors most powerfully influence village economic resilience. This analysis employed multiple complementary approaches</w:t>
      </w:r>
      <w:r w:rsidR="00C23D9E">
        <w:rPr>
          <w:rFonts w:ascii="Times New Roman" w:eastAsia="Times New Roman"/>
          <w:sz w:val="24"/>
          <w:szCs w:val="24"/>
        </w:rPr>
        <w:t>, including Gini importance metrics from Random Forest, SHAP (Shapley</w:t>
      </w:r>
      <w:r w:rsidRPr="008D16E1">
        <w:rPr>
          <w:rFonts w:ascii="Times New Roman" w:eastAsia="Times New Roman"/>
          <w:sz w:val="24"/>
          <w:szCs w:val="24"/>
        </w:rPr>
        <w:t xml:space="preserve"> Additive exPlanations) values for individual prediction interpretation, and partial dependence analysis to characterize functional relationships between predictors and outcomes. The integration of these techniques provides robust, convergent evidence about resilience determinants while addressing limitations of any single analytical approach.</w:t>
      </w:r>
    </w:p>
    <w:p w14:paraId="48827F99" w14:textId="65BB0733"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Feature importance analysis revealed a clear hierarchical structure in </w:t>
      </w:r>
      <w:r w:rsidR="00C23D9E">
        <w:rPr>
          <w:rFonts w:ascii="Times New Roman" w:eastAsia="Times New Roman"/>
          <w:sz w:val="24"/>
          <w:szCs w:val="24"/>
        </w:rPr>
        <w:t>the determinants of village economic resilience, with digital infrastructure emerging as the dominant factor, accounting for 24% of the Gradient Boosting model's total predictive power</w:t>
      </w:r>
      <w:r w:rsidRPr="008D16E1">
        <w:rPr>
          <w:rFonts w:ascii="Times New Roman" w:eastAsia="Times New Roman"/>
          <w:sz w:val="24"/>
          <w:szCs w:val="24"/>
        </w:rPr>
        <w:t xml:space="preserve">. This finding aligns with theoretical perspectives emphasizing connectivity as a foundational enabler of modern economic participation, but the magnitude of effect proved surprising even to researchers familiar with the region. The paramount importance of digital access reflects the reality that in contemporary rural economies, market participation, information access, financial transactions, government service utilization, and social network maintenance </w:t>
      </w:r>
      <w:r w:rsidRPr="008D16E1">
        <w:rPr>
          <w:rFonts w:ascii="Times New Roman" w:eastAsia="Times New Roman"/>
          <w:sz w:val="24"/>
          <w:szCs w:val="24"/>
        </w:rPr>
        <w:lastRenderedPageBreak/>
        <w:t>increasingly operate through digital channels. Villages lacking reliable internet connectivity find themselves systematically excluded from these expanding opportunity structures, generating cumulative disadvantage that compounds over time.</w:t>
      </w:r>
    </w:p>
    <w:p w14:paraId="5165FCC7" w14:textId="23041F56"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Income source diversification ranked </w:t>
      </w:r>
      <w:r w:rsidR="00C23D9E">
        <w:rPr>
          <w:rFonts w:ascii="Times New Roman" w:eastAsia="Times New Roman"/>
          <w:sz w:val="24"/>
          <w:szCs w:val="24"/>
        </w:rPr>
        <w:t>second among the most influential factors, accounting for 21% of the model's</w:t>
      </w:r>
      <w:r w:rsidRPr="008D16E1">
        <w:rPr>
          <w:rFonts w:ascii="Times New Roman" w:eastAsia="Times New Roman"/>
          <w:sz w:val="24"/>
          <w:szCs w:val="24"/>
        </w:rPr>
        <w:t xml:space="preserve"> explanatory power. This substantiates longstanding development theory emphasizing diversification as a </w:t>
      </w:r>
      <w:r w:rsidR="00C23D9E">
        <w:rPr>
          <w:rFonts w:ascii="Times New Roman" w:eastAsia="Times New Roman"/>
          <w:sz w:val="24"/>
          <w:szCs w:val="24"/>
        </w:rPr>
        <w:t>risk-management strategy, but the AI analysis offers</w:t>
      </w:r>
      <w:r w:rsidRPr="008D16E1">
        <w:rPr>
          <w:rFonts w:ascii="Times New Roman" w:eastAsia="Times New Roman"/>
          <w:sz w:val="24"/>
          <w:szCs w:val="24"/>
        </w:rPr>
        <w:t xml:space="preserve"> nuanced insights into optimal diversification patterns. Examination of partial dependence relationships revealed that diversification benefits followed an inverted U-shaped curve: households with only </w:t>
      </w:r>
      <w:r w:rsidR="00C23D9E">
        <w:rPr>
          <w:rFonts w:ascii="Times New Roman" w:eastAsia="Times New Roman"/>
          <w:sz w:val="24"/>
          <w:szCs w:val="24"/>
        </w:rPr>
        <w:t>a single income source</w:t>
      </w:r>
      <w:r w:rsidRPr="008D16E1">
        <w:rPr>
          <w:rFonts w:ascii="Times New Roman" w:eastAsia="Times New Roman"/>
          <w:sz w:val="24"/>
          <w:szCs w:val="24"/>
        </w:rPr>
        <w:t xml:space="preserve"> exhibited high vulnerability, moderate diversification (2-3 income sources) generated substantial resilience gains, but excessive diversification beyond 4-5 distinct income streams showed diminishing and eventually negative marginal returns. This non-linear pattern suggests that excessive diversification may reflect desperation-driven livelihood fragmentation rather than strategic economic management, with households spreading efforts too thinly across numerous low-productivity activities.</w:t>
      </w:r>
    </w:p>
    <w:p w14:paraId="509F4338" w14:textId="77777777" w:rsidR="004C0841" w:rsidRPr="008D16E1" w:rsidRDefault="004C0841">
      <w:pPr>
        <w:spacing w:line="276" w:lineRule="auto"/>
        <w:contextualSpacing/>
        <w:rPr>
          <w:rFonts w:ascii="Times New Roman" w:eastAsia="Times New Roman"/>
          <w:sz w:val="24"/>
          <w:szCs w:val="24"/>
        </w:rPr>
      </w:pPr>
    </w:p>
    <w:p w14:paraId="08E2AEE3" w14:textId="08AEDFAF" w:rsidR="004C0841" w:rsidRPr="008D16E1" w:rsidRDefault="00181BDB">
      <w:pPr>
        <w:spacing w:line="276" w:lineRule="auto"/>
        <w:contextualSpacing/>
        <w:jc w:val="center"/>
        <w:rPr>
          <w:rFonts w:ascii="Times New Roman" w:eastAsia="Times New Roman"/>
          <w:b/>
          <w:bCs/>
          <w:sz w:val="24"/>
          <w:szCs w:val="24"/>
        </w:rPr>
      </w:pPr>
      <w:r w:rsidRPr="008D16E1">
        <w:rPr>
          <w:rFonts w:ascii="Times New Roman" w:eastAsia="Times New Roman"/>
          <w:b/>
          <w:bCs/>
          <w:sz w:val="24"/>
          <w:szCs w:val="24"/>
        </w:rPr>
        <w:t>Table 2</w:t>
      </w:r>
      <w:r w:rsidR="00174E4E" w:rsidRPr="008D16E1">
        <w:rPr>
          <w:rFonts w:ascii="Times New Roman" w:eastAsia="Times New Roman"/>
          <w:b/>
          <w:bCs/>
          <w:sz w:val="24"/>
          <w:szCs w:val="24"/>
        </w:rPr>
        <w:t xml:space="preserve">. </w:t>
      </w:r>
      <w:r w:rsidRPr="008D16E1">
        <w:rPr>
          <w:rFonts w:ascii="Times New Roman" w:eastAsia="Times New Roman"/>
          <w:sz w:val="24"/>
          <w:szCs w:val="24"/>
        </w:rPr>
        <w:t>Feature Importance Rankings for Village Economic Resilience Determinants</w:t>
      </w:r>
    </w:p>
    <w:tbl>
      <w:tblPr>
        <w:tblStyle w:val="KisiTabe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30"/>
        <w:gridCol w:w="2802"/>
        <w:gridCol w:w="1477"/>
        <w:gridCol w:w="3544"/>
      </w:tblGrid>
      <w:tr w:rsidR="004C0841" w:rsidRPr="008D16E1" w14:paraId="52A43A6D" w14:textId="77777777" w:rsidTr="00174E4E">
        <w:trPr>
          <w:jc w:val="center"/>
        </w:trPr>
        <w:tc>
          <w:tcPr>
            <w:tcW w:w="0" w:type="auto"/>
          </w:tcPr>
          <w:p w14:paraId="7B5BF162"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Rank</w:t>
            </w:r>
          </w:p>
        </w:tc>
        <w:tc>
          <w:tcPr>
            <w:tcW w:w="0" w:type="auto"/>
          </w:tcPr>
          <w:p w14:paraId="11484247"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Key Variable / Dimension</w:t>
            </w:r>
          </w:p>
        </w:tc>
        <w:tc>
          <w:tcPr>
            <w:tcW w:w="0" w:type="auto"/>
          </w:tcPr>
          <w:p w14:paraId="1C235312"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Importance (%)</w:t>
            </w:r>
          </w:p>
        </w:tc>
        <w:tc>
          <w:tcPr>
            <w:tcW w:w="0" w:type="auto"/>
          </w:tcPr>
          <w:p w14:paraId="123692A3"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Interpretation</w:t>
            </w:r>
          </w:p>
        </w:tc>
      </w:tr>
      <w:tr w:rsidR="004C0841" w:rsidRPr="008D16E1" w14:paraId="499B9568" w14:textId="77777777" w:rsidTr="00174E4E">
        <w:trPr>
          <w:jc w:val="center"/>
        </w:trPr>
        <w:tc>
          <w:tcPr>
            <w:tcW w:w="0" w:type="auto"/>
          </w:tcPr>
          <w:p w14:paraId="01623ED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w:t>
            </w:r>
          </w:p>
        </w:tc>
        <w:tc>
          <w:tcPr>
            <w:tcW w:w="0" w:type="auto"/>
          </w:tcPr>
          <w:p w14:paraId="31109BE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Digital Infrastructure Score</w:t>
            </w:r>
          </w:p>
        </w:tc>
        <w:tc>
          <w:tcPr>
            <w:tcW w:w="0" w:type="auto"/>
          </w:tcPr>
          <w:p w14:paraId="653923A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24</w:t>
            </w:r>
          </w:p>
        </w:tc>
        <w:tc>
          <w:tcPr>
            <w:tcW w:w="0" w:type="auto"/>
          </w:tcPr>
          <w:p w14:paraId="5C191731" w14:textId="36652F90" w:rsidR="004C0841" w:rsidRPr="008D16E1" w:rsidRDefault="00181BDB">
            <w:pPr>
              <w:spacing w:line="276" w:lineRule="auto"/>
              <w:contextualSpacing/>
              <w:rPr>
                <w:rFonts w:ascii="Times New Roman" w:eastAsia="Times New Roman"/>
              </w:rPr>
            </w:pPr>
            <w:r w:rsidRPr="008D16E1">
              <w:rPr>
                <w:rFonts w:ascii="Times New Roman" w:eastAsia="Times New Roman"/>
              </w:rPr>
              <w:t xml:space="preserve">Internet access, mobile signal strength, </w:t>
            </w:r>
            <w:r w:rsidR="00C23D9E">
              <w:rPr>
                <w:rFonts w:ascii="Times New Roman" w:eastAsia="Times New Roman"/>
              </w:rPr>
              <w:t xml:space="preserve">and </w:t>
            </w:r>
            <w:r w:rsidRPr="008D16E1">
              <w:rPr>
                <w:rFonts w:ascii="Times New Roman" w:eastAsia="Times New Roman"/>
              </w:rPr>
              <w:t>digital literacy</w:t>
            </w:r>
          </w:p>
        </w:tc>
      </w:tr>
      <w:tr w:rsidR="004C0841" w:rsidRPr="008D16E1" w14:paraId="0FDA3B47" w14:textId="77777777" w:rsidTr="00174E4E">
        <w:trPr>
          <w:jc w:val="center"/>
        </w:trPr>
        <w:tc>
          <w:tcPr>
            <w:tcW w:w="0" w:type="auto"/>
          </w:tcPr>
          <w:p w14:paraId="70BF921E"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2</w:t>
            </w:r>
          </w:p>
        </w:tc>
        <w:tc>
          <w:tcPr>
            <w:tcW w:w="0" w:type="auto"/>
          </w:tcPr>
          <w:p w14:paraId="005572DA"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Income Source Diversification Index</w:t>
            </w:r>
          </w:p>
        </w:tc>
        <w:tc>
          <w:tcPr>
            <w:tcW w:w="0" w:type="auto"/>
          </w:tcPr>
          <w:p w14:paraId="6923C286"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21</w:t>
            </w:r>
          </w:p>
        </w:tc>
        <w:tc>
          <w:tcPr>
            <w:tcW w:w="0" w:type="auto"/>
          </w:tcPr>
          <w:p w14:paraId="1BEA8AC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Number and balance of household income streams</w:t>
            </w:r>
          </w:p>
        </w:tc>
      </w:tr>
      <w:tr w:rsidR="004C0841" w:rsidRPr="008D16E1" w14:paraId="287981DC" w14:textId="77777777" w:rsidTr="00174E4E">
        <w:trPr>
          <w:jc w:val="center"/>
        </w:trPr>
        <w:tc>
          <w:tcPr>
            <w:tcW w:w="0" w:type="auto"/>
          </w:tcPr>
          <w:p w14:paraId="4220BD8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3</w:t>
            </w:r>
          </w:p>
        </w:tc>
        <w:tc>
          <w:tcPr>
            <w:tcW w:w="0" w:type="auto"/>
          </w:tcPr>
          <w:p w14:paraId="7D12C5DE"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Financial Service Access</w:t>
            </w:r>
          </w:p>
        </w:tc>
        <w:tc>
          <w:tcPr>
            <w:tcW w:w="0" w:type="auto"/>
          </w:tcPr>
          <w:p w14:paraId="543DC4D7"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17</w:t>
            </w:r>
          </w:p>
        </w:tc>
        <w:tc>
          <w:tcPr>
            <w:tcW w:w="0" w:type="auto"/>
          </w:tcPr>
          <w:p w14:paraId="60B55B39" w14:textId="3530C9C7" w:rsidR="004C0841" w:rsidRPr="008D16E1" w:rsidRDefault="00181BDB">
            <w:pPr>
              <w:spacing w:line="276" w:lineRule="auto"/>
              <w:contextualSpacing/>
              <w:rPr>
                <w:rFonts w:ascii="Times New Roman" w:eastAsia="Times New Roman"/>
              </w:rPr>
            </w:pPr>
            <w:r w:rsidRPr="008D16E1">
              <w:rPr>
                <w:rFonts w:ascii="Times New Roman" w:eastAsia="Times New Roman"/>
              </w:rPr>
              <w:t xml:space="preserve">Banking availability, fintech access, cooperatives, </w:t>
            </w:r>
            <w:r w:rsidR="00C23D9E">
              <w:rPr>
                <w:rFonts w:ascii="Times New Roman" w:eastAsia="Times New Roman"/>
              </w:rPr>
              <w:t xml:space="preserve">and </w:t>
            </w:r>
            <w:r w:rsidRPr="008D16E1">
              <w:rPr>
                <w:rFonts w:ascii="Times New Roman" w:eastAsia="Times New Roman"/>
              </w:rPr>
              <w:t>credit options</w:t>
            </w:r>
          </w:p>
        </w:tc>
      </w:tr>
      <w:tr w:rsidR="004C0841" w:rsidRPr="008D16E1" w14:paraId="201D889E" w14:textId="77777777" w:rsidTr="00174E4E">
        <w:trPr>
          <w:jc w:val="center"/>
        </w:trPr>
        <w:tc>
          <w:tcPr>
            <w:tcW w:w="0" w:type="auto"/>
          </w:tcPr>
          <w:p w14:paraId="58779AD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4</w:t>
            </w:r>
          </w:p>
        </w:tc>
        <w:tc>
          <w:tcPr>
            <w:tcW w:w="0" w:type="auto"/>
          </w:tcPr>
          <w:p w14:paraId="7F7BA2E9"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Human Resource Quality</w:t>
            </w:r>
          </w:p>
        </w:tc>
        <w:tc>
          <w:tcPr>
            <w:tcW w:w="0" w:type="auto"/>
          </w:tcPr>
          <w:p w14:paraId="4525B410"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15</w:t>
            </w:r>
          </w:p>
        </w:tc>
        <w:tc>
          <w:tcPr>
            <w:tcW w:w="0" w:type="auto"/>
          </w:tcPr>
          <w:p w14:paraId="5279A78C" w14:textId="100799B5" w:rsidR="004C0841" w:rsidRPr="008D16E1" w:rsidRDefault="00181BDB">
            <w:pPr>
              <w:spacing w:line="276" w:lineRule="auto"/>
              <w:contextualSpacing/>
              <w:rPr>
                <w:rFonts w:ascii="Times New Roman" w:eastAsia="Times New Roman"/>
              </w:rPr>
            </w:pPr>
            <w:r w:rsidRPr="008D16E1">
              <w:rPr>
                <w:rFonts w:ascii="Times New Roman" w:eastAsia="Times New Roman"/>
              </w:rPr>
              <w:t xml:space="preserve">Education levels, vocational skills, </w:t>
            </w:r>
            <w:r w:rsidR="00C23D9E">
              <w:rPr>
                <w:rFonts w:ascii="Times New Roman" w:eastAsia="Times New Roman"/>
              </w:rPr>
              <w:t xml:space="preserve">and </w:t>
            </w:r>
            <w:r w:rsidRPr="008D16E1">
              <w:rPr>
                <w:rFonts w:ascii="Times New Roman" w:eastAsia="Times New Roman"/>
              </w:rPr>
              <w:t>training participation</w:t>
            </w:r>
          </w:p>
        </w:tc>
      </w:tr>
      <w:tr w:rsidR="004C0841" w:rsidRPr="008D16E1" w14:paraId="28A5BB96" w14:textId="77777777" w:rsidTr="00174E4E">
        <w:trPr>
          <w:jc w:val="center"/>
        </w:trPr>
        <w:tc>
          <w:tcPr>
            <w:tcW w:w="0" w:type="auto"/>
          </w:tcPr>
          <w:p w14:paraId="280ED850"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w:t>
            </w:r>
          </w:p>
        </w:tc>
        <w:tc>
          <w:tcPr>
            <w:tcW w:w="0" w:type="auto"/>
          </w:tcPr>
          <w:p w14:paraId="5C8D3067"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Physical Connectivity</w:t>
            </w:r>
          </w:p>
        </w:tc>
        <w:tc>
          <w:tcPr>
            <w:tcW w:w="0" w:type="auto"/>
          </w:tcPr>
          <w:p w14:paraId="2F86DA3A"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11</w:t>
            </w:r>
          </w:p>
        </w:tc>
        <w:tc>
          <w:tcPr>
            <w:tcW w:w="0" w:type="auto"/>
          </w:tcPr>
          <w:p w14:paraId="636EB1BE" w14:textId="2D31709F" w:rsidR="004C0841" w:rsidRPr="008D16E1" w:rsidRDefault="00181BDB">
            <w:pPr>
              <w:spacing w:line="276" w:lineRule="auto"/>
              <w:contextualSpacing/>
              <w:rPr>
                <w:rFonts w:ascii="Times New Roman" w:eastAsia="Times New Roman"/>
              </w:rPr>
            </w:pPr>
            <w:r w:rsidRPr="008D16E1">
              <w:rPr>
                <w:rFonts w:ascii="Times New Roman" w:eastAsia="Times New Roman"/>
              </w:rPr>
              <w:t xml:space="preserve">Road quality, transport infrastructure, </w:t>
            </w:r>
            <w:r w:rsidR="00C85B32">
              <w:rPr>
                <w:rFonts w:ascii="Times New Roman" w:eastAsia="Times New Roman"/>
              </w:rPr>
              <w:t xml:space="preserve">and </w:t>
            </w:r>
            <w:r w:rsidRPr="008D16E1">
              <w:rPr>
                <w:rFonts w:ascii="Times New Roman" w:eastAsia="Times New Roman"/>
              </w:rPr>
              <w:t>distance to markets</w:t>
            </w:r>
          </w:p>
        </w:tc>
      </w:tr>
      <w:tr w:rsidR="004C0841" w:rsidRPr="008D16E1" w14:paraId="77633DBE" w14:textId="77777777" w:rsidTr="00174E4E">
        <w:trPr>
          <w:jc w:val="center"/>
        </w:trPr>
        <w:tc>
          <w:tcPr>
            <w:tcW w:w="0" w:type="auto"/>
          </w:tcPr>
          <w:p w14:paraId="791A431A"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w:t>
            </w:r>
          </w:p>
        </w:tc>
        <w:tc>
          <w:tcPr>
            <w:tcW w:w="0" w:type="auto"/>
          </w:tcPr>
          <w:p w14:paraId="7F8D45E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Social Participation &amp; Institutional Strength</w:t>
            </w:r>
          </w:p>
        </w:tc>
        <w:tc>
          <w:tcPr>
            <w:tcW w:w="0" w:type="auto"/>
          </w:tcPr>
          <w:p w14:paraId="69C0EE0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7</w:t>
            </w:r>
          </w:p>
        </w:tc>
        <w:tc>
          <w:tcPr>
            <w:tcW w:w="0" w:type="auto"/>
          </w:tcPr>
          <w:p w14:paraId="2977E399"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Community organizations, collective action capacity</w:t>
            </w:r>
          </w:p>
        </w:tc>
      </w:tr>
      <w:tr w:rsidR="004C0841" w:rsidRPr="008D16E1" w14:paraId="17300509" w14:textId="77777777" w:rsidTr="00174E4E">
        <w:trPr>
          <w:jc w:val="center"/>
        </w:trPr>
        <w:tc>
          <w:tcPr>
            <w:tcW w:w="0" w:type="auto"/>
          </w:tcPr>
          <w:p w14:paraId="3544A81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7</w:t>
            </w:r>
          </w:p>
        </w:tc>
        <w:tc>
          <w:tcPr>
            <w:tcW w:w="0" w:type="auto"/>
          </w:tcPr>
          <w:p w14:paraId="25F092BB"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 xml:space="preserve">Single Commodity Dependency </w:t>
            </w:r>
            <w:r w:rsidRPr="008D16E1">
              <w:rPr>
                <w:rFonts w:ascii="Times New Roman" w:eastAsia="Times New Roman"/>
                <w:i/>
                <w:iCs/>
              </w:rPr>
              <w:t>(negative influence)</w:t>
            </w:r>
          </w:p>
        </w:tc>
        <w:tc>
          <w:tcPr>
            <w:tcW w:w="0" w:type="auto"/>
          </w:tcPr>
          <w:p w14:paraId="1939E1C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w:t>
            </w:r>
          </w:p>
        </w:tc>
        <w:tc>
          <w:tcPr>
            <w:tcW w:w="0" w:type="auto"/>
          </w:tcPr>
          <w:p w14:paraId="5C969070"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Economic concentration in one crop/product, vulnerability to price shocks</w:t>
            </w:r>
          </w:p>
        </w:tc>
      </w:tr>
    </w:tbl>
    <w:p w14:paraId="044A0DC0" w14:textId="3F37E3F1" w:rsidR="004C0841" w:rsidRPr="008D16E1" w:rsidRDefault="00181BDB">
      <w:pPr>
        <w:spacing w:line="276" w:lineRule="auto"/>
        <w:contextualSpacing/>
        <w:rPr>
          <w:rFonts w:ascii="Times New Roman" w:eastAsia="Times New Roman"/>
          <w:sz w:val="24"/>
          <w:szCs w:val="24"/>
        </w:rPr>
      </w:pPr>
      <w:r w:rsidRPr="008D16E1">
        <w:rPr>
          <w:rFonts w:ascii="Times New Roman" w:eastAsia="Times New Roman"/>
          <w:sz w:val="24"/>
          <w:szCs w:val="24"/>
        </w:rPr>
        <w:t xml:space="preserve">Note: Importance percentages derived from </w:t>
      </w:r>
      <w:r w:rsidR="00C23D9E">
        <w:rPr>
          <w:rFonts w:ascii="Times New Roman" w:eastAsia="Times New Roman"/>
          <w:sz w:val="24"/>
          <w:szCs w:val="24"/>
        </w:rPr>
        <w:t xml:space="preserve">the mean decrease in impurity (Gini importance) in the </w:t>
      </w:r>
      <w:r w:rsidRPr="008D16E1">
        <w:rPr>
          <w:rFonts w:ascii="Times New Roman" w:eastAsia="Times New Roman"/>
          <w:sz w:val="24"/>
          <w:szCs w:val="24"/>
        </w:rPr>
        <w:t>Random Forest model</w:t>
      </w:r>
      <w:r w:rsidR="00C23D9E">
        <w:rPr>
          <w:rFonts w:ascii="Times New Roman" w:eastAsia="Times New Roman"/>
          <w:sz w:val="24"/>
          <w:szCs w:val="24"/>
        </w:rPr>
        <w:t>.</w:t>
      </w:r>
      <w:r w:rsidR="00562BB2" w:rsidRPr="008D16E1">
        <w:rPr>
          <w:rFonts w:ascii="Times New Roman" w:eastAsia="Times New Roman"/>
          <w:sz w:val="24"/>
          <w:szCs w:val="24"/>
        </w:rPr>
        <w:t xml:space="preserve"> </w:t>
      </w:r>
      <w:r w:rsidRPr="008D16E1">
        <w:rPr>
          <w:rFonts w:ascii="Times New Roman" w:eastAsia="Times New Roman"/>
          <w:sz w:val="24"/>
          <w:szCs w:val="24"/>
        </w:rPr>
        <w:t>Values represent relative contribution to model predictive accuracy across all five study villages</w:t>
      </w:r>
      <w:r w:rsidR="00C23D9E">
        <w:rPr>
          <w:rFonts w:ascii="Times New Roman" w:eastAsia="Times New Roman"/>
          <w:sz w:val="24"/>
          <w:szCs w:val="24"/>
        </w:rPr>
        <w:t>.</w:t>
      </w:r>
      <w:r w:rsidR="00562BB2" w:rsidRPr="008D16E1">
        <w:rPr>
          <w:rFonts w:ascii="Times New Roman" w:eastAsia="Times New Roman"/>
          <w:sz w:val="24"/>
          <w:szCs w:val="24"/>
        </w:rPr>
        <w:t xml:space="preserve"> </w:t>
      </w:r>
      <w:r w:rsidRPr="008D16E1">
        <w:rPr>
          <w:rFonts w:ascii="Times New Roman" w:eastAsia="Times New Roman"/>
          <w:sz w:val="24"/>
          <w:szCs w:val="24"/>
        </w:rPr>
        <w:t>Cumulative importance of top three factors (digital infrastructure, diversification, financial access) = 62%</w:t>
      </w:r>
    </w:p>
    <w:p w14:paraId="422B8A4B" w14:textId="77777777" w:rsidR="00174E4E" w:rsidRPr="008D16E1" w:rsidRDefault="00174E4E">
      <w:pPr>
        <w:spacing w:line="276" w:lineRule="auto"/>
        <w:contextualSpacing/>
        <w:rPr>
          <w:rFonts w:ascii="Times New Roman" w:eastAsia="Times New Roman"/>
          <w:sz w:val="24"/>
          <w:szCs w:val="24"/>
        </w:rPr>
      </w:pPr>
    </w:p>
    <w:p w14:paraId="568CB6FB" w14:textId="565000F2"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Access to financial services </w:t>
      </w:r>
      <w:r w:rsidR="00C23D9E">
        <w:rPr>
          <w:rFonts w:ascii="Times New Roman" w:eastAsia="Times New Roman"/>
          <w:sz w:val="24"/>
          <w:szCs w:val="24"/>
        </w:rPr>
        <w:t>ranked third among the factors</w:t>
      </w:r>
      <w:r w:rsidRPr="008D16E1">
        <w:rPr>
          <w:rFonts w:ascii="Times New Roman" w:eastAsia="Times New Roman"/>
          <w:sz w:val="24"/>
          <w:szCs w:val="24"/>
        </w:rPr>
        <w:t xml:space="preserve">, contributing 17% to the overall resilience score. The study found that financial access improves resilience in various ways, particularly through savings vehicles that help households build reserves against income shocks, and credit that enables productive investment and consumption </w:t>
      </w:r>
      <w:r w:rsidRPr="008D16E1">
        <w:rPr>
          <w:rFonts w:ascii="Times New Roman" w:eastAsia="Times New Roman"/>
          <w:sz w:val="24"/>
          <w:szCs w:val="24"/>
        </w:rPr>
        <w:lastRenderedPageBreak/>
        <w:t xml:space="preserve">smoothing during off-seasons. Additionally, </w:t>
      </w:r>
      <w:r w:rsidR="00C23D9E">
        <w:rPr>
          <w:rFonts w:ascii="Times New Roman" w:eastAsia="Times New Roman"/>
          <w:sz w:val="24"/>
          <w:szCs w:val="24"/>
        </w:rPr>
        <w:t>engagement with financial services promotes broader economic participation and enhances financial literacy, thereby further stimulating</w:t>
      </w:r>
      <w:r w:rsidRPr="008D16E1">
        <w:rPr>
          <w:rFonts w:ascii="Times New Roman" w:eastAsia="Times New Roman"/>
          <w:sz w:val="24"/>
          <w:szCs w:val="24"/>
        </w:rPr>
        <w:t xml:space="preserve"> entrepreneurship. Villages with active microfinance programs exhibited increased entrepreneurship and business formalization, even among households that were not directly involved in credit programs, highlighting the positive spillover effects through social learning and access to financial services.</w:t>
      </w:r>
    </w:p>
    <w:p w14:paraId="1EA30DCA" w14:textId="7ECF1776"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Human resource quality, contributing 15% to the resilience score, was assessed through education levels, vocational training, and specialized skills. The relationship between human capital and resilience was complex, with basic education showing </w:t>
      </w:r>
      <w:r w:rsidR="00C23D9E">
        <w:rPr>
          <w:rFonts w:ascii="Times New Roman" w:eastAsia="Times New Roman"/>
          <w:sz w:val="24"/>
          <w:szCs w:val="24"/>
        </w:rPr>
        <w:t>substantial</w:t>
      </w:r>
      <w:r w:rsidRPr="008D16E1">
        <w:rPr>
          <w:rFonts w:ascii="Times New Roman" w:eastAsia="Times New Roman"/>
          <w:sz w:val="24"/>
          <w:szCs w:val="24"/>
        </w:rPr>
        <w:t xml:space="preserve"> positive impacts. In villages like peri-urban Village A, higher education facilitated access to formal employment and modern business management, significantly improving resilience. However, in remote Village C, higher education correlated with out-migration, where educated youth left for urban opportunities, leaving behind aging populations dependent on limited resources. This underscores the need for human capital development to align with local economic opportunities to maximize resilience outcomes.</w:t>
      </w:r>
    </w:p>
    <w:p w14:paraId="39F55827" w14:textId="13C86DE6"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Physical connectivity, </w:t>
      </w:r>
      <w:r w:rsidR="00C23D9E">
        <w:rPr>
          <w:rFonts w:ascii="Times New Roman" w:eastAsia="Times New Roman"/>
          <w:sz w:val="24"/>
          <w:szCs w:val="24"/>
        </w:rPr>
        <w:t>which contributed 11% to the overall resilience score, was less impactful than digital connectivity but remained</w:t>
      </w:r>
      <w:r w:rsidRPr="008D16E1">
        <w:rPr>
          <w:rFonts w:ascii="Times New Roman" w:eastAsia="Times New Roman"/>
          <w:sz w:val="24"/>
          <w:szCs w:val="24"/>
        </w:rPr>
        <w:t xml:space="preserve"> an important enabler. The study showed that while physical infrastructure</w:t>
      </w:r>
      <w:r w:rsidR="00C23D9E">
        <w:rPr>
          <w:rFonts w:ascii="Times New Roman" w:eastAsia="Times New Roman"/>
          <w:sz w:val="24"/>
          <w:szCs w:val="24"/>
        </w:rPr>
        <w:t>, such as road quality and transportation availability,</w:t>
      </w:r>
      <w:r w:rsidRPr="008D16E1">
        <w:rPr>
          <w:rFonts w:ascii="Times New Roman" w:eastAsia="Times New Roman"/>
          <w:sz w:val="24"/>
          <w:szCs w:val="24"/>
        </w:rPr>
        <w:t xml:space="preserve"> was essential, its effect diminished as infrastructure quality improved. Improvements from poor to moderate road access resulted in significant resilience gains, while further enhancements produced diminishing returns. This suggests that infrastructure investments should prioritize truly isolated communities where poor connectivity hampers economic opportunities, while areas with adequate infrastructure could benefit from more targeted, cost-effective improvements.</w:t>
      </w:r>
    </w:p>
    <w:p w14:paraId="4D95F25D" w14:textId="77777777" w:rsidR="004C0841" w:rsidRPr="008D16E1" w:rsidRDefault="004C0841">
      <w:pPr>
        <w:spacing w:line="276" w:lineRule="auto"/>
        <w:contextualSpacing/>
        <w:rPr>
          <w:rFonts w:ascii="Times New Roman" w:eastAsia="Times New Roman"/>
          <w:sz w:val="24"/>
          <w:szCs w:val="24"/>
        </w:rPr>
      </w:pPr>
    </w:p>
    <w:p w14:paraId="14439ABA" w14:textId="77777777" w:rsidR="004C0841" w:rsidRPr="008D16E1" w:rsidRDefault="00181BDB">
      <w:pPr>
        <w:spacing w:line="276" w:lineRule="auto"/>
        <w:contextualSpacing/>
        <w:jc w:val="center"/>
        <w:rPr>
          <w:rFonts w:ascii="Times New Roman" w:eastAsia="Times New Roman"/>
          <w:sz w:val="24"/>
          <w:szCs w:val="24"/>
        </w:rPr>
      </w:pPr>
      <w:r w:rsidRPr="008D16E1">
        <w:rPr>
          <w:rFonts w:ascii="Times New Roman" w:eastAsia="Times New Roman"/>
          <w:noProof/>
          <w:sz w:val="24"/>
          <w:szCs w:val="24"/>
        </w:rPr>
        <w:drawing>
          <wp:inline distT="0" distB="0" distL="0" distR="0" wp14:anchorId="190C983A" wp14:editId="1338AB29">
            <wp:extent cx="3101340" cy="2677160"/>
            <wp:effectExtent l="0" t="0" r="0" b="2540"/>
            <wp:docPr id="1941649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49145"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35638" cy="2706834"/>
                    </a:xfrm>
                    <a:prstGeom prst="rect">
                      <a:avLst/>
                    </a:prstGeom>
                  </pic:spPr>
                </pic:pic>
              </a:graphicData>
            </a:graphic>
          </wp:inline>
        </w:drawing>
      </w:r>
    </w:p>
    <w:p w14:paraId="0E0D548F" w14:textId="4102656D" w:rsidR="004C0841" w:rsidRPr="008D16E1" w:rsidRDefault="00181BDB">
      <w:pPr>
        <w:spacing w:line="276" w:lineRule="auto"/>
        <w:contextualSpacing/>
        <w:jc w:val="center"/>
        <w:rPr>
          <w:rFonts w:ascii="Times New Roman" w:eastAsia="Times New Roman"/>
          <w:sz w:val="24"/>
          <w:szCs w:val="24"/>
        </w:rPr>
      </w:pPr>
      <w:r w:rsidRPr="008D16E1">
        <w:rPr>
          <w:rFonts w:ascii="Times New Roman" w:eastAsia="Times New Roman"/>
          <w:b/>
          <w:bCs/>
          <w:sz w:val="24"/>
          <w:szCs w:val="24"/>
        </w:rPr>
        <w:t>Figure 2</w:t>
      </w:r>
      <w:r w:rsidR="00174E4E" w:rsidRPr="008D16E1">
        <w:rPr>
          <w:rFonts w:ascii="Times New Roman" w:eastAsia="Times New Roman"/>
          <w:b/>
          <w:bCs/>
          <w:sz w:val="24"/>
          <w:szCs w:val="24"/>
        </w:rPr>
        <w:t xml:space="preserve">. </w:t>
      </w:r>
      <w:r w:rsidRPr="008D16E1">
        <w:rPr>
          <w:rFonts w:ascii="Times New Roman" w:eastAsia="Times New Roman"/>
          <w:sz w:val="24"/>
          <w:szCs w:val="24"/>
        </w:rPr>
        <w:t>Partial Dependence Plot - Digital Infrastructure Score vs. Village Economic Resilience Index</w:t>
      </w:r>
    </w:p>
    <w:p w14:paraId="744F186B" w14:textId="77777777" w:rsidR="00174E4E" w:rsidRPr="008D16E1" w:rsidRDefault="00174E4E">
      <w:pPr>
        <w:spacing w:line="276" w:lineRule="auto"/>
        <w:contextualSpacing/>
        <w:jc w:val="center"/>
        <w:rPr>
          <w:rFonts w:ascii="Times New Roman" w:eastAsia="Times New Roman"/>
          <w:b/>
          <w:bCs/>
          <w:sz w:val="24"/>
          <w:szCs w:val="24"/>
        </w:rPr>
      </w:pPr>
    </w:p>
    <w:p w14:paraId="09B93F6C" w14:textId="6BD37848"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lastRenderedPageBreak/>
        <w:t xml:space="preserve">Social participation and institutional strength, including community organization membership and governance effectiveness, </w:t>
      </w:r>
      <w:r w:rsidR="00C23D9E">
        <w:rPr>
          <w:rFonts w:ascii="Times New Roman" w:eastAsia="Times New Roman"/>
          <w:sz w:val="24"/>
          <w:szCs w:val="24"/>
        </w:rPr>
        <w:t>accounted for 7% of the model's predictive power</w:t>
      </w:r>
      <w:r w:rsidRPr="008D16E1">
        <w:rPr>
          <w:rFonts w:ascii="Times New Roman" w:eastAsia="Times New Roman"/>
          <w:sz w:val="24"/>
          <w:szCs w:val="24"/>
        </w:rPr>
        <w:t>. Villages with strong social cohesion were better able to transform infrastructure investments and economic opportunities into resilience gains, suggesting that social capital amplifies the impact of other resilience factors. The interaction analysis revealed that microfinance programs were particularly effective in communities with pre-existing cooperative traditions and trust relationships, demonstrating that social participation helps reduce transaction costs and enforcement challenges in financial services.</w:t>
      </w:r>
    </w:p>
    <w:p w14:paraId="245B91F9" w14:textId="6B56A580"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w:t>
      </w:r>
      <w:r w:rsidR="00C23D9E">
        <w:rPr>
          <w:rFonts w:ascii="Times New Roman" w:eastAsia="Times New Roman"/>
          <w:sz w:val="24"/>
          <w:szCs w:val="24"/>
        </w:rPr>
        <w:t>single-commodity dependency factor negatively impacted</w:t>
      </w:r>
      <w:r w:rsidRPr="008D16E1">
        <w:rPr>
          <w:rFonts w:ascii="Times New Roman" w:eastAsia="Times New Roman"/>
          <w:sz w:val="24"/>
          <w:szCs w:val="24"/>
        </w:rPr>
        <w:t xml:space="preserve"> resilience, contributing 5% to the model's predictive power. Villages that relied heavily on single crops or products, like rice monoculture in Village B or fishing in Village D, were more vulnerable to price volatility, weather shifts, and sector-specific shocks. This finding supports </w:t>
      </w:r>
      <w:r w:rsidR="00C23D9E">
        <w:rPr>
          <w:rFonts w:ascii="Times New Roman" w:eastAsia="Times New Roman"/>
          <w:sz w:val="24"/>
          <w:szCs w:val="24"/>
        </w:rPr>
        <w:t>theories in development economics that emphasize</w:t>
      </w:r>
      <w:r w:rsidRPr="008D16E1">
        <w:rPr>
          <w:rFonts w:ascii="Times New Roman" w:eastAsia="Times New Roman"/>
          <w:sz w:val="24"/>
          <w:szCs w:val="24"/>
        </w:rPr>
        <w:t xml:space="preserve"> diversification. The AI model identified that villages where over 60% of households derive more than 70% of their income from a single activity were particularly vulnerable, highlighting targets for diversification interventions to reduce this risk.</w:t>
      </w:r>
    </w:p>
    <w:p w14:paraId="2A083716" w14:textId="292FADD2"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w:t>
      </w:r>
      <w:r w:rsidR="00C23D9E">
        <w:rPr>
          <w:rFonts w:ascii="Times New Roman" w:eastAsia="Times New Roman"/>
          <w:sz w:val="24"/>
          <w:szCs w:val="24"/>
        </w:rPr>
        <w:t>interaction-effect analysis revealed synergistic relationships with</w:t>
      </w:r>
      <w:r w:rsidRPr="008D16E1">
        <w:rPr>
          <w:rFonts w:ascii="Times New Roman" w:eastAsia="Times New Roman"/>
          <w:sz w:val="24"/>
          <w:szCs w:val="24"/>
        </w:rPr>
        <w:t xml:space="preserve"> significant policy implications. For instance, digital infrastructure and financial service access interacted positively, suggesting that improving both areas together </w:t>
      </w:r>
      <w:r w:rsidR="00C23D9E">
        <w:rPr>
          <w:rFonts w:ascii="Times New Roman" w:eastAsia="Times New Roman"/>
          <w:sz w:val="24"/>
          <w:szCs w:val="24"/>
        </w:rPr>
        <w:t>enhances</w:t>
      </w:r>
      <w:r w:rsidRPr="008D16E1">
        <w:rPr>
          <w:rFonts w:ascii="Times New Roman" w:eastAsia="Times New Roman"/>
          <w:sz w:val="24"/>
          <w:szCs w:val="24"/>
        </w:rPr>
        <w:t xml:space="preserve"> resilience. Similarly, human resource quality and income diversification interacted positively, as educated populations were better at identifying diverse economic opportunities. These findings suggest the need for policies that prioritize broadband expansion and digital literacy programs, target interventions at critical transition points, and combine complementary strategies, such as pairing digital infrastructure improvements with financial inclusion efforts. The study emphasizes the importance of place-based, context-specific approaches to rural development, recognizing that different regions require tailored strategies to address local needs effectively.</w:t>
      </w:r>
    </w:p>
    <w:p w14:paraId="6E48EC0D" w14:textId="77777777" w:rsidR="004C0841" w:rsidRPr="008D16E1" w:rsidRDefault="004C0841">
      <w:pPr>
        <w:spacing w:line="276" w:lineRule="auto"/>
        <w:contextualSpacing/>
        <w:rPr>
          <w:rFonts w:ascii="Times New Roman" w:eastAsia="Times New Roman"/>
          <w:sz w:val="24"/>
          <w:szCs w:val="24"/>
        </w:rPr>
      </w:pPr>
    </w:p>
    <w:p w14:paraId="2325F8B0" w14:textId="6F15174B" w:rsidR="004C0841" w:rsidRPr="008D16E1" w:rsidRDefault="00174E4E">
      <w:pPr>
        <w:spacing w:line="276" w:lineRule="auto"/>
        <w:contextualSpacing/>
        <w:rPr>
          <w:rFonts w:ascii="Times New Roman" w:eastAsia="Times New Roman"/>
          <w:b/>
          <w:bCs/>
          <w:sz w:val="24"/>
          <w:szCs w:val="24"/>
        </w:rPr>
      </w:pPr>
      <w:r w:rsidRPr="008D16E1">
        <w:rPr>
          <w:rFonts w:ascii="Times New Roman" w:eastAsia="Times New Roman"/>
          <w:b/>
          <w:bCs/>
          <w:sz w:val="24"/>
          <w:szCs w:val="24"/>
        </w:rPr>
        <w:t>3. </w:t>
      </w:r>
      <w:r w:rsidR="00181BDB" w:rsidRPr="008D16E1">
        <w:rPr>
          <w:rFonts w:ascii="Times New Roman" w:eastAsia="Times New Roman"/>
          <w:b/>
          <w:bCs/>
          <w:sz w:val="24"/>
          <w:szCs w:val="24"/>
        </w:rPr>
        <w:t>Integration of AI Models with Participatory Village Planning Processes</w:t>
      </w:r>
    </w:p>
    <w:p w14:paraId="7E157732" w14:textId="643F8631"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ab/>
        <w:t xml:space="preserve">A central focus of this research </w:t>
      </w:r>
      <w:r w:rsidR="00C23D9E">
        <w:rPr>
          <w:rFonts w:ascii="Times New Roman" w:eastAsia="Times New Roman"/>
          <w:sz w:val="24"/>
          <w:szCs w:val="24"/>
        </w:rPr>
        <w:t>was how AI-generated analytical insights integrate with existing participatory planning mechanisms at the village level, specifically the village development planning consultation (Musrenbangdes) process, which</w:t>
      </w:r>
      <w:r w:rsidRPr="008D16E1">
        <w:rPr>
          <w:rFonts w:ascii="Times New Roman" w:eastAsia="Times New Roman"/>
          <w:sz w:val="24"/>
          <w:szCs w:val="24"/>
        </w:rPr>
        <w:t xml:space="preserve"> represents Indonesia's institutionalized approach to bottom-up development planning. This integration challenge operates at the intersection of technical rigor and democratic legitimacy, seeking to harness computational power for evidence generation while preserving community agency and local knowledge in decision-making processes. The research employed an action research methodology</w:t>
      </w:r>
      <w:r w:rsidR="00C23D9E">
        <w:rPr>
          <w:rFonts w:ascii="Times New Roman" w:eastAsia="Times New Roman"/>
          <w:sz w:val="24"/>
          <w:szCs w:val="24"/>
        </w:rPr>
        <w:t>, presenting AI outputs to stakeholder forums in each of the five study villages and systematically documenting responses, deliberations, and final</w:t>
      </w:r>
      <w:r w:rsidRPr="008D16E1">
        <w:rPr>
          <w:rFonts w:ascii="Times New Roman" w:eastAsia="Times New Roman"/>
          <w:sz w:val="24"/>
          <w:szCs w:val="24"/>
        </w:rPr>
        <w:t xml:space="preserve"> planning decisions to assess integration effectiveness and identify implementation barriers.</w:t>
      </w:r>
    </w:p>
    <w:p w14:paraId="016D87FD" w14:textId="7BFDAA32"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integration process commenced with </w:t>
      </w:r>
      <w:r w:rsidR="00C23D9E">
        <w:rPr>
          <w:rFonts w:ascii="Times New Roman" w:eastAsia="Times New Roman"/>
          <w:sz w:val="24"/>
          <w:szCs w:val="24"/>
        </w:rPr>
        <w:t>translating model outputs into accessible visualizations suitable for non-technical stakeholders</w:t>
      </w:r>
      <w:r w:rsidRPr="008D16E1">
        <w:rPr>
          <w:rFonts w:ascii="Times New Roman" w:eastAsia="Times New Roman"/>
          <w:sz w:val="24"/>
          <w:szCs w:val="24"/>
        </w:rPr>
        <w:t>. The research team developed a risk-</w:t>
      </w:r>
      <w:r w:rsidRPr="008D16E1">
        <w:rPr>
          <w:rFonts w:ascii="Times New Roman" w:eastAsia="Times New Roman"/>
          <w:sz w:val="24"/>
          <w:szCs w:val="24"/>
        </w:rPr>
        <w:lastRenderedPageBreak/>
        <w:t xml:space="preserve">and-opportunity mapping framework that classified villages into four resilience categories based on VERI scores: highly vulnerable (VERI &lt; 40), vulnerable (40 ≤ VERI &lt; 60), moderately resilient (60 ≤ VERI &lt; 75), and highly resilient (VERI ≥ 75). For the five study villages, baseline assessments yielded revealing patterns: Village A achieved moderately resilient status (VERI = 64), Villages B and D fell into </w:t>
      </w:r>
      <w:r w:rsidR="00C23D9E">
        <w:rPr>
          <w:rFonts w:ascii="Times New Roman" w:eastAsia="Times New Roman"/>
          <w:sz w:val="24"/>
          <w:szCs w:val="24"/>
        </w:rPr>
        <w:t xml:space="preserve">the </w:t>
      </w:r>
      <w:r w:rsidRPr="008D16E1">
        <w:rPr>
          <w:rFonts w:ascii="Times New Roman" w:eastAsia="Times New Roman"/>
          <w:sz w:val="24"/>
          <w:szCs w:val="24"/>
        </w:rPr>
        <w:t>vulnerable category (VERI = 48 and 51</w:t>
      </w:r>
      <w:r w:rsidR="00C23D9E">
        <w:rPr>
          <w:rFonts w:ascii="Times New Roman" w:eastAsia="Times New Roman"/>
          <w:sz w:val="24"/>
          <w:szCs w:val="24"/>
        </w:rPr>
        <w:t>,</w:t>
      </w:r>
      <w:r w:rsidRPr="008D16E1">
        <w:rPr>
          <w:rFonts w:ascii="Times New Roman" w:eastAsia="Times New Roman"/>
          <w:sz w:val="24"/>
          <w:szCs w:val="24"/>
        </w:rPr>
        <w:t xml:space="preserve"> respectively), Village E barely crossed into </w:t>
      </w:r>
      <w:r w:rsidR="00C23D9E">
        <w:rPr>
          <w:rFonts w:ascii="Times New Roman" w:eastAsia="Times New Roman"/>
          <w:sz w:val="24"/>
          <w:szCs w:val="24"/>
        </w:rPr>
        <w:t xml:space="preserve">the </w:t>
      </w:r>
      <w:r w:rsidRPr="008D16E1">
        <w:rPr>
          <w:rFonts w:ascii="Times New Roman" w:eastAsia="Times New Roman"/>
          <w:sz w:val="24"/>
          <w:szCs w:val="24"/>
        </w:rPr>
        <w:t>vulnerable range (VERI = 43), while Village C registered as highly vulnerable (VERI = 32). These categorizations, presented through color-coded maps and simple infographics, provided stakeholders with immediate visual comprehension of relative positions and development challenges.</w:t>
      </w:r>
    </w:p>
    <w:p w14:paraId="62069401" w14:textId="77777777" w:rsidR="004C0841" w:rsidRPr="008D16E1" w:rsidRDefault="004C0841">
      <w:pPr>
        <w:spacing w:line="276" w:lineRule="auto"/>
        <w:contextualSpacing/>
        <w:rPr>
          <w:rFonts w:ascii="Times New Roman" w:eastAsia="Times New Roman"/>
          <w:sz w:val="24"/>
          <w:szCs w:val="24"/>
        </w:rPr>
      </w:pPr>
    </w:p>
    <w:p w14:paraId="1D6C62CF" w14:textId="09155DB3" w:rsidR="004C0841" w:rsidRPr="008D16E1" w:rsidRDefault="00181BDB">
      <w:pPr>
        <w:spacing w:line="276" w:lineRule="auto"/>
        <w:contextualSpacing/>
        <w:jc w:val="center"/>
        <w:rPr>
          <w:rFonts w:ascii="Times New Roman" w:eastAsia="Times New Roman"/>
          <w:b/>
          <w:bCs/>
          <w:sz w:val="24"/>
          <w:szCs w:val="24"/>
        </w:rPr>
      </w:pPr>
      <w:r w:rsidRPr="008D16E1">
        <w:rPr>
          <w:rFonts w:ascii="Times New Roman" w:eastAsia="Times New Roman"/>
          <w:b/>
          <w:bCs/>
          <w:sz w:val="24"/>
          <w:szCs w:val="24"/>
        </w:rPr>
        <w:t>Table 3</w:t>
      </w:r>
      <w:r w:rsidR="00174E4E" w:rsidRPr="008D16E1">
        <w:rPr>
          <w:rFonts w:ascii="Times New Roman" w:eastAsia="Times New Roman"/>
          <w:b/>
          <w:bCs/>
          <w:sz w:val="24"/>
          <w:szCs w:val="24"/>
        </w:rPr>
        <w:t xml:space="preserve">. </w:t>
      </w:r>
      <w:r w:rsidR="00174E4E" w:rsidRPr="008D16E1">
        <w:rPr>
          <w:rFonts w:ascii="Times New Roman" w:eastAsia="Times New Roman"/>
          <w:sz w:val="24"/>
          <w:szCs w:val="24"/>
        </w:rPr>
        <w:t>V</w:t>
      </w:r>
      <w:r w:rsidRPr="008D16E1">
        <w:rPr>
          <w:rFonts w:ascii="Times New Roman" w:eastAsia="Times New Roman"/>
          <w:sz w:val="24"/>
          <w:szCs w:val="24"/>
        </w:rPr>
        <w:t>illage Economic Resilience Categorization and Characteristics</w:t>
      </w:r>
    </w:p>
    <w:tbl>
      <w:tblPr>
        <w:tblStyle w:val="KisiTabe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464"/>
        <w:gridCol w:w="926"/>
        <w:gridCol w:w="1264"/>
        <w:gridCol w:w="2447"/>
        <w:gridCol w:w="2452"/>
      </w:tblGrid>
      <w:tr w:rsidR="004C0841" w:rsidRPr="008D16E1" w14:paraId="666BE14E" w14:textId="77777777" w:rsidTr="00174E4E">
        <w:trPr>
          <w:jc w:val="center"/>
        </w:trPr>
        <w:tc>
          <w:tcPr>
            <w:tcW w:w="0" w:type="auto"/>
          </w:tcPr>
          <w:p w14:paraId="62177298"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Resilience Category</w:t>
            </w:r>
          </w:p>
        </w:tc>
        <w:tc>
          <w:tcPr>
            <w:tcW w:w="0" w:type="auto"/>
          </w:tcPr>
          <w:p w14:paraId="3894116D"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VERI Range</w:t>
            </w:r>
          </w:p>
        </w:tc>
        <w:tc>
          <w:tcPr>
            <w:tcW w:w="0" w:type="auto"/>
          </w:tcPr>
          <w:p w14:paraId="236D6521"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Village Examples</w:t>
            </w:r>
          </w:p>
        </w:tc>
        <w:tc>
          <w:tcPr>
            <w:tcW w:w="0" w:type="auto"/>
          </w:tcPr>
          <w:p w14:paraId="36CD775C"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Key Vulnerabilities</w:t>
            </w:r>
          </w:p>
        </w:tc>
        <w:tc>
          <w:tcPr>
            <w:tcW w:w="0" w:type="auto"/>
          </w:tcPr>
          <w:p w14:paraId="0368CC22"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Priority Interventions</w:t>
            </w:r>
          </w:p>
        </w:tc>
      </w:tr>
      <w:tr w:rsidR="004C0841" w:rsidRPr="008D16E1" w14:paraId="65CF9E82" w14:textId="77777777" w:rsidTr="00174E4E">
        <w:trPr>
          <w:jc w:val="center"/>
        </w:trPr>
        <w:tc>
          <w:tcPr>
            <w:tcW w:w="0" w:type="auto"/>
          </w:tcPr>
          <w:p w14:paraId="53AF6CF0"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Highly Vulnerable</w:t>
            </w:r>
          </w:p>
        </w:tc>
        <w:tc>
          <w:tcPr>
            <w:tcW w:w="0" w:type="auto"/>
          </w:tcPr>
          <w:p w14:paraId="0BF319D8"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&lt; 40</w:t>
            </w:r>
          </w:p>
        </w:tc>
        <w:tc>
          <w:tcPr>
            <w:tcW w:w="0" w:type="auto"/>
          </w:tcPr>
          <w:p w14:paraId="0833211B"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Village C</w:t>
            </w:r>
          </w:p>
        </w:tc>
        <w:tc>
          <w:tcPr>
            <w:tcW w:w="0" w:type="auto"/>
          </w:tcPr>
          <w:p w14:paraId="2C89ADAD" w14:textId="127B0B50" w:rsidR="004C0841" w:rsidRPr="008D16E1" w:rsidRDefault="00181BDB">
            <w:pPr>
              <w:spacing w:line="276" w:lineRule="auto"/>
              <w:contextualSpacing/>
              <w:rPr>
                <w:rFonts w:ascii="Times New Roman" w:eastAsia="Times New Roman"/>
              </w:rPr>
            </w:pPr>
            <w:r w:rsidRPr="008D16E1">
              <w:rPr>
                <w:rFonts w:ascii="Times New Roman" w:eastAsia="Times New Roman"/>
              </w:rPr>
              <w:t xml:space="preserve">Extreme isolation, infrastructure deficits, </w:t>
            </w:r>
            <w:r w:rsidR="00C23D9E">
              <w:rPr>
                <w:rFonts w:ascii="Times New Roman" w:eastAsia="Times New Roman"/>
              </w:rPr>
              <w:t xml:space="preserve">and </w:t>
            </w:r>
            <w:r w:rsidRPr="008D16E1">
              <w:rPr>
                <w:rFonts w:ascii="Times New Roman" w:eastAsia="Times New Roman"/>
              </w:rPr>
              <w:t>limited human capital</w:t>
            </w:r>
          </w:p>
        </w:tc>
        <w:tc>
          <w:tcPr>
            <w:tcW w:w="0" w:type="auto"/>
          </w:tcPr>
          <w:p w14:paraId="38D88769"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Basic connectivity, primary services, livelihood diversification</w:t>
            </w:r>
          </w:p>
        </w:tc>
      </w:tr>
      <w:tr w:rsidR="004C0841" w:rsidRPr="008D16E1" w14:paraId="6525BBC2" w14:textId="77777777" w:rsidTr="00174E4E">
        <w:trPr>
          <w:jc w:val="center"/>
        </w:trPr>
        <w:tc>
          <w:tcPr>
            <w:tcW w:w="0" w:type="auto"/>
          </w:tcPr>
          <w:p w14:paraId="6900D97C"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Vulnerable</w:t>
            </w:r>
          </w:p>
        </w:tc>
        <w:tc>
          <w:tcPr>
            <w:tcW w:w="0" w:type="auto"/>
          </w:tcPr>
          <w:p w14:paraId="60A45857"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40–59</w:t>
            </w:r>
          </w:p>
        </w:tc>
        <w:tc>
          <w:tcPr>
            <w:tcW w:w="0" w:type="auto"/>
          </w:tcPr>
          <w:p w14:paraId="1BDDE9D5"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Villages B, D, E</w:t>
            </w:r>
          </w:p>
        </w:tc>
        <w:tc>
          <w:tcPr>
            <w:tcW w:w="0" w:type="auto"/>
          </w:tcPr>
          <w:p w14:paraId="2B605D4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Single-sector dependency, moderate infrastructure gaps</w:t>
            </w:r>
          </w:p>
        </w:tc>
        <w:tc>
          <w:tcPr>
            <w:tcW w:w="0" w:type="auto"/>
          </w:tcPr>
          <w:p w14:paraId="2AE66E64" w14:textId="590EAA39" w:rsidR="004C0841" w:rsidRPr="008D16E1" w:rsidRDefault="00181BDB">
            <w:pPr>
              <w:spacing w:line="276" w:lineRule="auto"/>
              <w:contextualSpacing/>
              <w:rPr>
                <w:rFonts w:ascii="Times New Roman" w:eastAsia="Times New Roman"/>
              </w:rPr>
            </w:pPr>
            <w:r w:rsidRPr="008D16E1">
              <w:rPr>
                <w:rFonts w:ascii="Times New Roman" w:eastAsia="Times New Roman"/>
              </w:rPr>
              <w:t xml:space="preserve">Economic diversification, financial inclusion, </w:t>
            </w:r>
            <w:r w:rsidR="00C23D9E">
              <w:rPr>
                <w:rFonts w:ascii="Times New Roman" w:eastAsia="Times New Roman"/>
              </w:rPr>
              <w:t xml:space="preserve">and </w:t>
            </w:r>
            <w:r w:rsidRPr="008D16E1">
              <w:rPr>
                <w:rFonts w:ascii="Times New Roman" w:eastAsia="Times New Roman"/>
              </w:rPr>
              <w:t>digital access</w:t>
            </w:r>
          </w:p>
        </w:tc>
      </w:tr>
      <w:tr w:rsidR="004C0841" w:rsidRPr="008D16E1" w14:paraId="3C43F083" w14:textId="77777777" w:rsidTr="00174E4E">
        <w:trPr>
          <w:jc w:val="center"/>
        </w:trPr>
        <w:tc>
          <w:tcPr>
            <w:tcW w:w="0" w:type="auto"/>
          </w:tcPr>
          <w:p w14:paraId="73A0DB9D"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Moderately Resilient</w:t>
            </w:r>
          </w:p>
        </w:tc>
        <w:tc>
          <w:tcPr>
            <w:tcW w:w="0" w:type="auto"/>
          </w:tcPr>
          <w:p w14:paraId="7D16039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60–74</w:t>
            </w:r>
          </w:p>
        </w:tc>
        <w:tc>
          <w:tcPr>
            <w:tcW w:w="0" w:type="auto"/>
          </w:tcPr>
          <w:p w14:paraId="50943409"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Village A</w:t>
            </w:r>
          </w:p>
        </w:tc>
        <w:tc>
          <w:tcPr>
            <w:tcW w:w="0" w:type="auto"/>
          </w:tcPr>
          <w:p w14:paraId="609D0D1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Sustainability risks, inequality concerns</w:t>
            </w:r>
          </w:p>
        </w:tc>
        <w:tc>
          <w:tcPr>
            <w:tcW w:w="0" w:type="auto"/>
          </w:tcPr>
          <w:p w14:paraId="040B302D" w14:textId="49D10E89" w:rsidR="004C0841" w:rsidRPr="008D16E1" w:rsidRDefault="00181BDB">
            <w:pPr>
              <w:spacing w:line="276" w:lineRule="auto"/>
              <w:contextualSpacing/>
              <w:rPr>
                <w:rFonts w:ascii="Times New Roman" w:eastAsia="Times New Roman"/>
              </w:rPr>
            </w:pPr>
            <w:r w:rsidRPr="008D16E1">
              <w:rPr>
                <w:rFonts w:ascii="Times New Roman" w:eastAsia="Times New Roman"/>
              </w:rPr>
              <w:t xml:space="preserve">Advanced skills development, innovation support, </w:t>
            </w:r>
            <w:r w:rsidR="00C23D9E">
              <w:rPr>
                <w:rFonts w:ascii="Times New Roman" w:eastAsia="Times New Roman"/>
              </w:rPr>
              <w:t xml:space="preserve">and </w:t>
            </w:r>
            <w:r w:rsidRPr="008D16E1">
              <w:rPr>
                <w:rFonts w:ascii="Times New Roman" w:eastAsia="Times New Roman"/>
              </w:rPr>
              <w:t>equity programs</w:t>
            </w:r>
          </w:p>
        </w:tc>
      </w:tr>
      <w:tr w:rsidR="004C0841" w:rsidRPr="008D16E1" w14:paraId="6871A41F" w14:textId="77777777" w:rsidTr="00174E4E">
        <w:trPr>
          <w:jc w:val="center"/>
        </w:trPr>
        <w:tc>
          <w:tcPr>
            <w:tcW w:w="0" w:type="auto"/>
          </w:tcPr>
          <w:p w14:paraId="156E93FB"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Highly Resilient</w:t>
            </w:r>
          </w:p>
        </w:tc>
        <w:tc>
          <w:tcPr>
            <w:tcW w:w="0" w:type="auto"/>
          </w:tcPr>
          <w:p w14:paraId="4E2FB51C"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 75</w:t>
            </w:r>
          </w:p>
        </w:tc>
        <w:tc>
          <w:tcPr>
            <w:tcW w:w="0" w:type="auto"/>
          </w:tcPr>
          <w:p w14:paraId="1743E477"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(none in sample)</w:t>
            </w:r>
          </w:p>
        </w:tc>
        <w:tc>
          <w:tcPr>
            <w:tcW w:w="0" w:type="auto"/>
          </w:tcPr>
          <w:p w14:paraId="22A07549"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(not applicable)</w:t>
            </w:r>
          </w:p>
        </w:tc>
        <w:tc>
          <w:tcPr>
            <w:tcW w:w="0" w:type="auto"/>
          </w:tcPr>
          <w:p w14:paraId="00C0330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Maintenance, adaptation, spillover facilitation</w:t>
            </w:r>
          </w:p>
        </w:tc>
      </w:tr>
    </w:tbl>
    <w:p w14:paraId="5983A1DA" w14:textId="613B59B9" w:rsidR="004C0841" w:rsidRPr="008D16E1" w:rsidRDefault="00181BDB">
      <w:pPr>
        <w:spacing w:line="276" w:lineRule="auto"/>
        <w:contextualSpacing/>
        <w:rPr>
          <w:rFonts w:ascii="Times New Roman" w:eastAsia="Times New Roman"/>
          <w:sz w:val="24"/>
          <w:szCs w:val="24"/>
        </w:rPr>
      </w:pPr>
      <w:r w:rsidRPr="008D16E1">
        <w:rPr>
          <w:rFonts w:ascii="Times New Roman" w:eastAsia="Times New Roman"/>
          <w:sz w:val="24"/>
          <w:szCs w:val="24"/>
        </w:rPr>
        <w:t>Note: Categorization based on composite VERI incorporating five resilience dimensions</w:t>
      </w:r>
      <w:r w:rsidR="00C23D9E">
        <w:rPr>
          <w:rFonts w:ascii="Times New Roman" w:eastAsia="Times New Roman"/>
          <w:sz w:val="24"/>
          <w:szCs w:val="24"/>
        </w:rPr>
        <w:t>.</w:t>
      </w:r>
      <w:r w:rsidR="00562BB2" w:rsidRPr="008D16E1">
        <w:rPr>
          <w:rFonts w:ascii="Times New Roman" w:eastAsia="Times New Roman"/>
          <w:sz w:val="24"/>
          <w:szCs w:val="24"/>
        </w:rPr>
        <w:t xml:space="preserve"> </w:t>
      </w:r>
      <w:r w:rsidRPr="008D16E1">
        <w:rPr>
          <w:rFonts w:ascii="Times New Roman" w:eastAsia="Times New Roman"/>
          <w:sz w:val="24"/>
          <w:szCs w:val="24"/>
        </w:rPr>
        <w:t>Priority interventions represent model-recommended strategic focus areas for each resilience tier</w:t>
      </w:r>
      <w:r w:rsidR="00C23D9E">
        <w:rPr>
          <w:rFonts w:ascii="Times New Roman" w:eastAsia="Times New Roman"/>
          <w:sz w:val="24"/>
          <w:szCs w:val="24"/>
        </w:rPr>
        <w:t>.</w:t>
      </w:r>
      <w:r w:rsidR="00562BB2" w:rsidRPr="008D16E1">
        <w:rPr>
          <w:rFonts w:ascii="Times New Roman" w:eastAsia="Times New Roman"/>
          <w:sz w:val="24"/>
          <w:szCs w:val="24"/>
        </w:rPr>
        <w:t xml:space="preserve"> </w:t>
      </w:r>
      <w:r w:rsidRPr="008D16E1">
        <w:rPr>
          <w:rFonts w:ascii="Times New Roman" w:eastAsia="Times New Roman"/>
          <w:sz w:val="24"/>
          <w:szCs w:val="24"/>
        </w:rPr>
        <w:t xml:space="preserve">No study villages achieved </w:t>
      </w:r>
      <w:r w:rsidR="00C23D9E">
        <w:rPr>
          <w:rFonts w:ascii="Times New Roman" w:eastAsia="Times New Roman"/>
          <w:sz w:val="24"/>
          <w:szCs w:val="24"/>
        </w:rPr>
        <w:t xml:space="preserve">a </w:t>
      </w:r>
      <w:r w:rsidRPr="008D16E1">
        <w:rPr>
          <w:rFonts w:ascii="Times New Roman" w:eastAsia="Times New Roman"/>
          <w:sz w:val="24"/>
          <w:szCs w:val="24"/>
        </w:rPr>
        <w:t xml:space="preserve">highly resilient status, reflecting </w:t>
      </w:r>
      <w:r w:rsidR="00C23D9E">
        <w:rPr>
          <w:rFonts w:ascii="Times New Roman" w:eastAsia="Times New Roman"/>
          <w:sz w:val="24"/>
          <w:szCs w:val="24"/>
        </w:rPr>
        <w:t xml:space="preserve">the </w:t>
      </w:r>
      <w:r w:rsidRPr="008D16E1">
        <w:rPr>
          <w:rFonts w:ascii="Times New Roman" w:eastAsia="Times New Roman"/>
          <w:sz w:val="24"/>
          <w:szCs w:val="24"/>
        </w:rPr>
        <w:t>selection of communities with development needs</w:t>
      </w:r>
      <w:r w:rsidR="00C23D9E">
        <w:rPr>
          <w:rFonts w:ascii="Times New Roman" w:eastAsia="Times New Roman"/>
          <w:sz w:val="24"/>
          <w:szCs w:val="24"/>
        </w:rPr>
        <w:t>.</w:t>
      </w:r>
    </w:p>
    <w:p w14:paraId="29E5210E" w14:textId="77777777" w:rsidR="004C0841" w:rsidRPr="008D16E1" w:rsidRDefault="004C0841" w:rsidP="00174E4E">
      <w:pPr>
        <w:spacing w:line="276" w:lineRule="auto"/>
        <w:ind w:firstLine="426"/>
        <w:contextualSpacing/>
        <w:rPr>
          <w:rFonts w:ascii="Times New Roman" w:eastAsia="Times New Roman"/>
          <w:sz w:val="24"/>
          <w:szCs w:val="24"/>
        </w:rPr>
      </w:pPr>
    </w:p>
    <w:p w14:paraId="1361C132" w14:textId="2FF762D0"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Stakeholder forums in each village began with </w:t>
      </w:r>
      <w:r w:rsidR="00C23D9E">
        <w:rPr>
          <w:rFonts w:ascii="Times New Roman" w:eastAsia="Times New Roman"/>
          <w:sz w:val="24"/>
          <w:szCs w:val="24"/>
        </w:rPr>
        <w:t>the presentation of</w:t>
      </w:r>
      <w:r w:rsidRPr="008D16E1">
        <w:rPr>
          <w:rFonts w:ascii="Times New Roman" w:eastAsia="Times New Roman"/>
          <w:sz w:val="24"/>
          <w:szCs w:val="24"/>
        </w:rPr>
        <w:t xml:space="preserve"> individualized resilience profiles that highlighted scores across economic, social, infrastructure, human capital, and institutional dimensions. This multidimensional approach </w:t>
      </w:r>
      <w:r w:rsidR="00C23D9E">
        <w:rPr>
          <w:rFonts w:ascii="Times New Roman" w:eastAsia="Times New Roman"/>
          <w:sz w:val="24"/>
          <w:szCs w:val="24"/>
        </w:rPr>
        <w:t>enabled a more nuanced understanding of resilience, as villages with similar overall VERI scores, such as Villages B and D, exhibited</w:t>
      </w:r>
      <w:r w:rsidRPr="008D16E1">
        <w:rPr>
          <w:rFonts w:ascii="Times New Roman" w:eastAsia="Times New Roman"/>
          <w:sz w:val="24"/>
          <w:szCs w:val="24"/>
        </w:rPr>
        <w:t xml:space="preserve"> starkly different profiles that demanded distinct strategic responses. For example, Village B's vulnerabilities </w:t>
      </w:r>
      <w:r w:rsidR="00C23D9E">
        <w:rPr>
          <w:rFonts w:ascii="Times New Roman" w:eastAsia="Times New Roman"/>
          <w:sz w:val="24"/>
          <w:szCs w:val="24"/>
        </w:rPr>
        <w:t xml:space="preserve">stemmed from income diversification and financial access, while Village D's challenges were primarily infrastructural, despite </w:t>
      </w:r>
      <w:r w:rsidRPr="008D16E1">
        <w:rPr>
          <w:rFonts w:ascii="Times New Roman" w:eastAsia="Times New Roman"/>
          <w:sz w:val="24"/>
          <w:szCs w:val="24"/>
        </w:rPr>
        <w:t>strong social and institutional capacity. The AI analysis, therefore, facilitated differentiated diagnoses and tailored interventions that would likely be overlooked in a purely participatory process.</w:t>
      </w:r>
    </w:p>
    <w:p w14:paraId="5249A366" w14:textId="759BC9EA"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lastRenderedPageBreak/>
        <w:t xml:space="preserve">The presentation format was designed to foster discussion rather than impose prescriptive solutions. Facilitators framed the AI-generated recommendations as "what-if" scenarios for community deliberation, such as exploring how improving digital infrastructure could boost resilience over time. This approach </w:t>
      </w:r>
      <w:r w:rsidR="00C23D9E">
        <w:rPr>
          <w:rFonts w:ascii="Times New Roman" w:eastAsia="Times New Roman"/>
          <w:sz w:val="24"/>
          <w:szCs w:val="24"/>
        </w:rPr>
        <w:t>enabled AI to serve</w:t>
      </w:r>
      <w:r w:rsidRPr="008D16E1">
        <w:rPr>
          <w:rFonts w:ascii="Times New Roman" w:eastAsia="Times New Roman"/>
          <w:sz w:val="24"/>
          <w:szCs w:val="24"/>
        </w:rPr>
        <w:t xml:space="preserve"> as a discussion tool that complemented local knowledge, ensuring the community's input remained central while integrating evidence-based insights into decision-making. The focus on questions rather than directives helped bridge local expertise with systematic analysis, fostering a more collaborative and informed dialogue.</w:t>
      </w:r>
    </w:p>
    <w:p w14:paraId="2C3AB93B" w14:textId="4F725632"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Stakeholder responses varied, with village leadership and economic actors such as farmers and small business owners showing significant interest in the quantitative aspects of the AI model. Leaders appreciated the clear, data-driven benchmarks for progress, which provided concrete metrics for accountability. Meanwhile, economic actors engaged deeply with policy simulation scenarios, evaluating the impacts of different interventions on their communities. However, some community members, especially in Village D’s fishing community, resisted </w:t>
      </w:r>
      <w:r w:rsidR="00C23D9E">
        <w:rPr>
          <w:rFonts w:ascii="Times New Roman" w:eastAsia="Times New Roman"/>
          <w:sz w:val="24"/>
          <w:szCs w:val="24"/>
        </w:rPr>
        <w:t>specific</w:t>
      </w:r>
      <w:r w:rsidRPr="008D16E1">
        <w:rPr>
          <w:rFonts w:ascii="Times New Roman" w:eastAsia="Times New Roman"/>
          <w:sz w:val="24"/>
          <w:szCs w:val="24"/>
        </w:rPr>
        <w:t xml:space="preserve"> AI recommendations, particularly those advocating </w:t>
      </w:r>
      <w:r w:rsidR="00C23D9E">
        <w:rPr>
          <w:rFonts w:ascii="Times New Roman" w:eastAsia="Times New Roman"/>
          <w:sz w:val="24"/>
          <w:szCs w:val="24"/>
        </w:rPr>
        <w:t>economic diversification, which</w:t>
      </w:r>
      <w:r w:rsidRPr="008D16E1">
        <w:rPr>
          <w:rFonts w:ascii="Times New Roman" w:eastAsia="Times New Roman"/>
          <w:sz w:val="24"/>
          <w:szCs w:val="24"/>
        </w:rPr>
        <w:t xml:space="preserve"> they felt overlooked cultural and sector-specific improvements. Marginalized groups, including women and youth, expressed concerns that the AI model’s focus on quantitative measures </w:t>
      </w:r>
      <w:r w:rsidR="00C23D9E">
        <w:rPr>
          <w:rFonts w:ascii="Times New Roman" w:eastAsia="Times New Roman"/>
          <w:sz w:val="24"/>
          <w:szCs w:val="24"/>
        </w:rPr>
        <w:t>failed to adequately capture qualitative aspects of resilience,</w:t>
      </w:r>
      <w:r w:rsidRPr="008D16E1">
        <w:rPr>
          <w:rFonts w:ascii="Times New Roman" w:eastAsia="Times New Roman"/>
          <w:sz w:val="24"/>
          <w:szCs w:val="24"/>
        </w:rPr>
        <w:t xml:space="preserve"> such as safety, empowerment, and equity. This feedback led the research team to refine the model by incorporating additional qualitative assessments, ensuring a more holistic approach to resilience evaluation.</w:t>
      </w:r>
    </w:p>
    <w:p w14:paraId="09F07E6C" w14:textId="77777777" w:rsidR="004C0841" w:rsidRPr="008D16E1" w:rsidRDefault="004C0841">
      <w:pPr>
        <w:spacing w:line="276" w:lineRule="auto"/>
        <w:contextualSpacing/>
        <w:rPr>
          <w:rFonts w:ascii="Times New Roman" w:eastAsia="Times New Roman"/>
          <w:sz w:val="24"/>
          <w:szCs w:val="24"/>
        </w:rPr>
      </w:pPr>
    </w:p>
    <w:p w14:paraId="63E0CBF9" w14:textId="77777777" w:rsidR="004C0841" w:rsidRPr="008D16E1" w:rsidRDefault="00181BDB">
      <w:pPr>
        <w:spacing w:line="276" w:lineRule="auto"/>
        <w:contextualSpacing/>
        <w:jc w:val="center"/>
        <w:rPr>
          <w:rFonts w:ascii="Times New Roman" w:eastAsia="Times New Roman"/>
          <w:sz w:val="24"/>
          <w:szCs w:val="24"/>
        </w:rPr>
      </w:pPr>
      <w:r w:rsidRPr="008D16E1">
        <w:rPr>
          <w:rFonts w:ascii="Times New Roman" w:eastAsia="Times New Roman"/>
          <w:noProof/>
          <w:sz w:val="24"/>
          <w:szCs w:val="24"/>
        </w:rPr>
        <w:drawing>
          <wp:inline distT="0" distB="0" distL="0" distR="0" wp14:anchorId="000AFF51" wp14:editId="40F17B7A">
            <wp:extent cx="4162425" cy="2469515"/>
            <wp:effectExtent l="0" t="0" r="3175" b="0"/>
            <wp:docPr id="2244304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30495" name="Picture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85879" cy="2483800"/>
                    </a:xfrm>
                    <a:prstGeom prst="rect">
                      <a:avLst/>
                    </a:prstGeom>
                  </pic:spPr>
                </pic:pic>
              </a:graphicData>
            </a:graphic>
          </wp:inline>
        </w:drawing>
      </w:r>
    </w:p>
    <w:p w14:paraId="41FDEA7F" w14:textId="1BA9D4CD" w:rsidR="004C0841" w:rsidRPr="008D16E1" w:rsidRDefault="00181BDB">
      <w:pPr>
        <w:spacing w:line="276" w:lineRule="auto"/>
        <w:contextualSpacing/>
        <w:jc w:val="center"/>
        <w:rPr>
          <w:rFonts w:ascii="Times New Roman" w:eastAsia="Times New Roman"/>
          <w:b/>
          <w:bCs/>
          <w:sz w:val="24"/>
          <w:szCs w:val="24"/>
        </w:rPr>
      </w:pPr>
      <w:r w:rsidRPr="008D16E1">
        <w:rPr>
          <w:rFonts w:ascii="Times New Roman" w:eastAsia="Times New Roman"/>
          <w:b/>
          <w:bCs/>
          <w:sz w:val="24"/>
          <w:szCs w:val="24"/>
        </w:rPr>
        <w:t>Figure 3</w:t>
      </w:r>
      <w:r w:rsidR="00174E4E" w:rsidRPr="008D16E1">
        <w:rPr>
          <w:rFonts w:ascii="Times New Roman" w:eastAsia="Times New Roman"/>
          <w:b/>
          <w:bCs/>
          <w:sz w:val="24"/>
          <w:szCs w:val="24"/>
        </w:rPr>
        <w:t xml:space="preserve">. </w:t>
      </w:r>
      <w:r w:rsidRPr="008D16E1">
        <w:rPr>
          <w:rFonts w:ascii="Times New Roman" w:eastAsia="Times New Roman"/>
          <w:sz w:val="24"/>
          <w:szCs w:val="24"/>
        </w:rPr>
        <w:t>Bar Chart - Village Resilience Score Distribution Across Five Dimensions</w:t>
      </w:r>
    </w:p>
    <w:p w14:paraId="0CCF2D55" w14:textId="77777777" w:rsidR="004C0841" w:rsidRPr="008D16E1" w:rsidRDefault="004C0841">
      <w:pPr>
        <w:spacing w:line="276" w:lineRule="auto"/>
        <w:contextualSpacing/>
        <w:rPr>
          <w:rFonts w:ascii="Times New Roman" w:eastAsia="Times New Roman"/>
          <w:sz w:val="24"/>
          <w:szCs w:val="24"/>
        </w:rPr>
      </w:pPr>
    </w:p>
    <w:p w14:paraId="15737447" w14:textId="47F9C39E"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integration of AI into village development planning had significant impacts across the six-month study period. In four of the five villages, the final development plans in August 2024 reflected substantial influence from AI-generated recommendations, including budget reallocations and the incorporation of </w:t>
      </w:r>
      <w:r w:rsidR="00C23D9E">
        <w:rPr>
          <w:rFonts w:ascii="Times New Roman" w:eastAsia="Times New Roman"/>
          <w:sz w:val="24"/>
          <w:szCs w:val="24"/>
        </w:rPr>
        <w:t>findings from scenario analysis</w:t>
      </w:r>
      <w:r w:rsidRPr="008D16E1">
        <w:rPr>
          <w:rFonts w:ascii="Times New Roman" w:eastAsia="Times New Roman"/>
          <w:sz w:val="24"/>
          <w:szCs w:val="24"/>
        </w:rPr>
        <w:t xml:space="preserve">. Village B, for example, shifted 40% of its discretionary budget from infrastructure maintenance to economic diversification initiatives, such as agricultural value-added </w:t>
      </w:r>
      <w:r w:rsidRPr="008D16E1">
        <w:rPr>
          <w:rFonts w:ascii="Times New Roman" w:eastAsia="Times New Roman"/>
          <w:sz w:val="24"/>
          <w:szCs w:val="24"/>
        </w:rPr>
        <w:lastRenderedPageBreak/>
        <w:t>processing and microenterprise incubation. Village D prioritized digital connectivity, a shift from its historical focus on maritime facilities, after the model demonstrated that internet access was a critical barrier to youth participation and market access.</w:t>
      </w:r>
    </w:p>
    <w:p w14:paraId="0DF8E760" w14:textId="77777777"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However, Village C highlighted barriers to integration despite clear AI recommendations. Although the village leadership agreed with the AI analysis, political realities and established relationships with agricultural input suppliers led to a continued emphasis on agricultural intensification. Interviews with village leaders revealed that political economy constraints, such as obligations to political sponsors, hindered their ability to implement AI-driven, evidence-based reforms. This experience underscores the challenge of integrating technical analysis in political contexts where entrenched interests resist change, even when it is supported by sophisticated evidence.</w:t>
      </w:r>
    </w:p>
    <w:p w14:paraId="427CCAB1" w14:textId="79E9F531" w:rsidR="004C0841" w:rsidRPr="008D16E1" w:rsidRDefault="00181BDB" w:rsidP="00174E4E">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The participatory approach also led to innovations in addressing transparency and explainability challenges associated with AI. The research team developed interactive dashboards</w:t>
      </w:r>
      <w:r w:rsidR="00C23D9E">
        <w:rPr>
          <w:rFonts w:ascii="Times New Roman" w:eastAsia="Times New Roman"/>
          <w:sz w:val="24"/>
          <w:szCs w:val="24"/>
        </w:rPr>
        <w:t xml:space="preserve"> that allow</w:t>
      </w:r>
      <w:r w:rsidRPr="008D16E1">
        <w:rPr>
          <w:rFonts w:ascii="Times New Roman" w:eastAsia="Times New Roman"/>
          <w:sz w:val="24"/>
          <w:szCs w:val="24"/>
        </w:rPr>
        <w:t xml:space="preserve"> stakeholders to adjust input assumptions and see real-time effects on resilience projections, demystifying the AI process. This engagement helped enhance understanding and revealed biases in how community members </w:t>
      </w:r>
      <w:r w:rsidR="00C23D9E">
        <w:rPr>
          <w:rFonts w:ascii="Times New Roman" w:eastAsia="Times New Roman"/>
          <w:sz w:val="24"/>
          <w:szCs w:val="24"/>
        </w:rPr>
        <w:t>weighed resilience dimensions, such as an overemphasis on</w:t>
      </w:r>
      <w:r w:rsidRPr="008D16E1">
        <w:rPr>
          <w:rFonts w:ascii="Times New Roman" w:eastAsia="Times New Roman"/>
          <w:sz w:val="24"/>
          <w:szCs w:val="24"/>
        </w:rPr>
        <w:t xml:space="preserve"> infrastructure. Village leaders expressed interest in continued access to simplified versions of the tools for ongoing monitoring, indicating a demand for evidence-based planning beyond the study. The experience validates sociotechnical systems frameworks, emphasizing that technology effectiveness relies on alignment with existing governance cultures and institutional capacity, showing that technical solutions alone are insufficient without proper institutional support and political buy-in.</w:t>
      </w:r>
    </w:p>
    <w:p w14:paraId="51AC5909" w14:textId="77777777" w:rsidR="004C0841" w:rsidRPr="008D16E1" w:rsidRDefault="004C0841">
      <w:pPr>
        <w:spacing w:line="276" w:lineRule="auto"/>
        <w:contextualSpacing/>
        <w:rPr>
          <w:rFonts w:ascii="Times New Roman" w:eastAsia="Times New Roman"/>
          <w:sz w:val="24"/>
          <w:szCs w:val="24"/>
        </w:rPr>
      </w:pPr>
    </w:p>
    <w:p w14:paraId="5E1B3576" w14:textId="309FE9A0" w:rsidR="004C0841" w:rsidRPr="008D16E1" w:rsidRDefault="00562BB2">
      <w:pPr>
        <w:spacing w:line="276" w:lineRule="auto"/>
        <w:contextualSpacing/>
        <w:rPr>
          <w:rFonts w:ascii="Times New Roman" w:eastAsia="Times New Roman"/>
          <w:b/>
          <w:bCs/>
          <w:sz w:val="24"/>
          <w:szCs w:val="24"/>
        </w:rPr>
      </w:pPr>
      <w:r w:rsidRPr="008D16E1">
        <w:rPr>
          <w:rFonts w:ascii="Times New Roman" w:eastAsia="Times New Roman"/>
          <w:b/>
          <w:bCs/>
          <w:sz w:val="24"/>
          <w:szCs w:val="24"/>
        </w:rPr>
        <w:t>4. </w:t>
      </w:r>
      <w:r w:rsidR="00181BDB" w:rsidRPr="008D16E1">
        <w:rPr>
          <w:rFonts w:ascii="Times New Roman" w:eastAsia="Times New Roman"/>
          <w:b/>
          <w:bCs/>
          <w:sz w:val="24"/>
          <w:szCs w:val="24"/>
        </w:rPr>
        <w:t>Comparative Analysis: AI-Supported versus Conventional Village Planning Approaches</w:t>
      </w:r>
    </w:p>
    <w:p w14:paraId="7CBBB175" w14:textId="77777777"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To assess the value-added from AI integration, the research conducted a structured comparison between the five AI-supported villages and five matched comparison villages, selected through propensity score matching based on baseline characteristics. Although not a randomized controlled trial, this quasi-experimental design provides credible insights into the treatment effects of AI integration under realistic conditions. The comparison focused on three key outcome domains: planning process characteristics (evidence utilization, stakeholder participation, and deliberation quality), priority allocation patterns (alignment with resilience determinants), and preliminary implementation efficiency observed within the six-month study period.</w:t>
      </w:r>
    </w:p>
    <w:p w14:paraId="0B132E2E" w14:textId="340C2C08"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In comparison</w:t>
      </w:r>
      <w:r w:rsidR="00C23D9E">
        <w:rPr>
          <w:rFonts w:ascii="Times New Roman" w:eastAsia="Times New Roman"/>
          <w:sz w:val="24"/>
          <w:szCs w:val="24"/>
        </w:rPr>
        <w:t>, villages followed conventional planning processes that followed familiar patterns,</w:t>
      </w:r>
      <w:r w:rsidRPr="008D16E1">
        <w:rPr>
          <w:rFonts w:ascii="Times New Roman" w:eastAsia="Times New Roman"/>
          <w:sz w:val="24"/>
          <w:szCs w:val="24"/>
        </w:rPr>
        <w:t xml:space="preserve"> where community priorities were voiced during participatory forums, supplemented by district development guidance. However, this approach had limitations</w:t>
      </w:r>
      <w:r w:rsidR="00C23D9E">
        <w:rPr>
          <w:rFonts w:ascii="Times New Roman" w:eastAsia="Times New Roman"/>
          <w:sz w:val="24"/>
          <w:szCs w:val="24"/>
        </w:rPr>
        <w:t>, including a focus on immediate needs rather than long-term resilience, information asymmetries that favored</w:t>
      </w:r>
      <w:r w:rsidRPr="008D16E1">
        <w:rPr>
          <w:rFonts w:ascii="Times New Roman" w:eastAsia="Times New Roman"/>
          <w:sz w:val="24"/>
          <w:szCs w:val="24"/>
        </w:rPr>
        <w:t xml:space="preserve"> well-connected community members, and resource allocation driven by political considerations. AI-supported planning, in contrast, introduced evidence-based deliberations, shifting discussions from subjective needs to gap analysis. </w:t>
      </w:r>
      <w:r w:rsidRPr="008D16E1">
        <w:rPr>
          <w:rFonts w:ascii="Times New Roman" w:eastAsia="Times New Roman"/>
          <w:sz w:val="24"/>
          <w:szCs w:val="24"/>
        </w:rPr>
        <w:lastRenderedPageBreak/>
        <w:t>For example, when Village B proposed continuing rice production intensification, AI model findings highlighting the need for income diversification reframed the debate</w:t>
      </w:r>
      <w:r w:rsidR="00C23D9E">
        <w:rPr>
          <w:rFonts w:ascii="Times New Roman" w:eastAsia="Times New Roman"/>
          <w:sz w:val="24"/>
          <w:szCs w:val="24"/>
        </w:rPr>
        <w:t>. They led</w:t>
      </w:r>
      <w:r w:rsidRPr="008D16E1">
        <w:rPr>
          <w:rFonts w:ascii="Times New Roman" w:eastAsia="Times New Roman"/>
          <w:sz w:val="24"/>
          <w:szCs w:val="24"/>
        </w:rPr>
        <w:t xml:space="preserve"> to reallocation toward diversification programs, demonstrating how evidence could shift the terms of local deliberations.</w:t>
      </w:r>
    </w:p>
    <w:p w14:paraId="49100891" w14:textId="77777777"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The priority allocation comparison revealed significant differences between AI-supported and conventional villages. AI-supported villages allocated more resources to economic development (32% vs. 21%), human capital investment (18% vs. 12%), and digital infrastructure (11% vs. 3%), while reducing allocations to physical infrastructure (23% vs. 38%) and social assistance (16% vs. 26%). These shifts directly reflected insights from AI analysis, translating analytical findings into practical decisions. The reduced social assistance allocation emphasized productive investment over temporary relief, focusing on long-term, sustainable improvements to resilience.</w:t>
      </w:r>
    </w:p>
    <w:p w14:paraId="0CF9E1C9" w14:textId="77777777" w:rsidR="004C0841" w:rsidRPr="008D16E1" w:rsidRDefault="004C0841">
      <w:pPr>
        <w:spacing w:line="276" w:lineRule="auto"/>
        <w:contextualSpacing/>
        <w:rPr>
          <w:rFonts w:ascii="Times New Roman" w:eastAsia="Times New Roman"/>
          <w:sz w:val="24"/>
          <w:szCs w:val="24"/>
        </w:rPr>
      </w:pPr>
    </w:p>
    <w:p w14:paraId="42DC147F" w14:textId="12AFBA59" w:rsidR="004C0841" w:rsidRPr="008D16E1" w:rsidRDefault="00181BDB" w:rsidP="00562BB2">
      <w:pPr>
        <w:spacing w:line="276" w:lineRule="auto"/>
        <w:contextualSpacing/>
        <w:jc w:val="center"/>
        <w:rPr>
          <w:rFonts w:ascii="Times New Roman" w:eastAsia="Times New Roman"/>
          <w:sz w:val="24"/>
          <w:szCs w:val="24"/>
        </w:rPr>
      </w:pPr>
      <w:r w:rsidRPr="008D16E1">
        <w:rPr>
          <w:rFonts w:ascii="Times New Roman" w:eastAsia="Times New Roman"/>
          <w:b/>
          <w:bCs/>
          <w:sz w:val="24"/>
          <w:szCs w:val="24"/>
        </w:rPr>
        <w:t>Table 4</w:t>
      </w:r>
      <w:r w:rsidR="00562BB2" w:rsidRPr="008D16E1">
        <w:rPr>
          <w:rFonts w:ascii="Times New Roman" w:eastAsia="Times New Roman"/>
          <w:b/>
          <w:bCs/>
          <w:sz w:val="24"/>
          <w:szCs w:val="24"/>
        </w:rPr>
        <w:t xml:space="preserve">. </w:t>
      </w:r>
      <w:r w:rsidRPr="008D16E1">
        <w:rPr>
          <w:rFonts w:ascii="Times New Roman" w:eastAsia="Times New Roman"/>
          <w:sz w:val="24"/>
          <w:szCs w:val="24"/>
        </w:rPr>
        <w:t>Budget Allocation Patterns - AI-Supported vs. Conventional Planning Villages</w:t>
      </w:r>
    </w:p>
    <w:tbl>
      <w:tblPr>
        <w:tblStyle w:val="KisiTabe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518"/>
        <w:gridCol w:w="2410"/>
        <w:gridCol w:w="2431"/>
        <w:gridCol w:w="1194"/>
      </w:tblGrid>
      <w:tr w:rsidR="004C0841" w:rsidRPr="008D16E1" w14:paraId="69E91F5F" w14:textId="77777777" w:rsidTr="00562BB2">
        <w:trPr>
          <w:jc w:val="center"/>
        </w:trPr>
        <w:tc>
          <w:tcPr>
            <w:tcW w:w="0" w:type="auto"/>
          </w:tcPr>
          <w:p w14:paraId="100B3317"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Expenditure Category</w:t>
            </w:r>
          </w:p>
        </w:tc>
        <w:tc>
          <w:tcPr>
            <w:tcW w:w="0" w:type="auto"/>
          </w:tcPr>
          <w:p w14:paraId="18B3C2DD"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AI-Supported Villages (%)</w:t>
            </w:r>
          </w:p>
        </w:tc>
        <w:tc>
          <w:tcPr>
            <w:tcW w:w="0" w:type="auto"/>
          </w:tcPr>
          <w:p w14:paraId="43475307"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Conventional Villages (%)</w:t>
            </w:r>
          </w:p>
        </w:tc>
        <w:tc>
          <w:tcPr>
            <w:tcW w:w="0" w:type="auto"/>
          </w:tcPr>
          <w:p w14:paraId="22491CF8"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Difference</w:t>
            </w:r>
          </w:p>
        </w:tc>
      </w:tr>
      <w:tr w:rsidR="004C0841" w:rsidRPr="008D16E1" w14:paraId="6C9B16F1" w14:textId="77777777" w:rsidTr="00562BB2">
        <w:trPr>
          <w:jc w:val="center"/>
        </w:trPr>
        <w:tc>
          <w:tcPr>
            <w:tcW w:w="0" w:type="auto"/>
          </w:tcPr>
          <w:p w14:paraId="2F65721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Economic Development</w:t>
            </w:r>
          </w:p>
        </w:tc>
        <w:tc>
          <w:tcPr>
            <w:tcW w:w="0" w:type="auto"/>
          </w:tcPr>
          <w:p w14:paraId="61D638B0"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32</w:t>
            </w:r>
          </w:p>
        </w:tc>
        <w:tc>
          <w:tcPr>
            <w:tcW w:w="0" w:type="auto"/>
          </w:tcPr>
          <w:p w14:paraId="7249A67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21</w:t>
            </w:r>
          </w:p>
        </w:tc>
        <w:tc>
          <w:tcPr>
            <w:tcW w:w="0" w:type="auto"/>
          </w:tcPr>
          <w:p w14:paraId="0E83AD46"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+11</w:t>
            </w:r>
          </w:p>
        </w:tc>
      </w:tr>
      <w:tr w:rsidR="004C0841" w:rsidRPr="008D16E1" w14:paraId="1D5BFA82" w14:textId="77777777" w:rsidTr="00562BB2">
        <w:trPr>
          <w:jc w:val="center"/>
        </w:trPr>
        <w:tc>
          <w:tcPr>
            <w:tcW w:w="0" w:type="auto"/>
          </w:tcPr>
          <w:p w14:paraId="14CC047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 Livelihood diversification</w:t>
            </w:r>
          </w:p>
        </w:tc>
        <w:tc>
          <w:tcPr>
            <w:tcW w:w="0" w:type="auto"/>
          </w:tcPr>
          <w:p w14:paraId="71D3950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18</w:t>
            </w:r>
          </w:p>
        </w:tc>
        <w:tc>
          <w:tcPr>
            <w:tcW w:w="0" w:type="auto"/>
          </w:tcPr>
          <w:p w14:paraId="5D083069"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9</w:t>
            </w:r>
          </w:p>
        </w:tc>
        <w:tc>
          <w:tcPr>
            <w:tcW w:w="0" w:type="auto"/>
          </w:tcPr>
          <w:p w14:paraId="1E361F50"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+9</w:t>
            </w:r>
          </w:p>
        </w:tc>
      </w:tr>
      <w:tr w:rsidR="004C0841" w:rsidRPr="008D16E1" w14:paraId="7148120F" w14:textId="77777777" w:rsidTr="00562BB2">
        <w:trPr>
          <w:jc w:val="center"/>
        </w:trPr>
        <w:tc>
          <w:tcPr>
            <w:tcW w:w="0" w:type="auto"/>
          </w:tcPr>
          <w:p w14:paraId="6CA61AC6"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 Market linkages</w:t>
            </w:r>
          </w:p>
        </w:tc>
        <w:tc>
          <w:tcPr>
            <w:tcW w:w="0" w:type="auto"/>
          </w:tcPr>
          <w:p w14:paraId="3B5E1E0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8</w:t>
            </w:r>
          </w:p>
        </w:tc>
        <w:tc>
          <w:tcPr>
            <w:tcW w:w="0" w:type="auto"/>
          </w:tcPr>
          <w:p w14:paraId="24B3F028"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7</w:t>
            </w:r>
          </w:p>
        </w:tc>
        <w:tc>
          <w:tcPr>
            <w:tcW w:w="0" w:type="auto"/>
          </w:tcPr>
          <w:p w14:paraId="2610E5AE"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+1</w:t>
            </w:r>
          </w:p>
        </w:tc>
      </w:tr>
      <w:tr w:rsidR="004C0841" w:rsidRPr="008D16E1" w14:paraId="1B63EBE7" w14:textId="77777777" w:rsidTr="00562BB2">
        <w:trPr>
          <w:jc w:val="center"/>
        </w:trPr>
        <w:tc>
          <w:tcPr>
            <w:tcW w:w="0" w:type="auto"/>
          </w:tcPr>
          <w:p w14:paraId="74E9BF15"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 Value-added processing</w:t>
            </w:r>
          </w:p>
        </w:tc>
        <w:tc>
          <w:tcPr>
            <w:tcW w:w="0" w:type="auto"/>
          </w:tcPr>
          <w:p w14:paraId="46548F9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w:t>
            </w:r>
          </w:p>
        </w:tc>
        <w:tc>
          <w:tcPr>
            <w:tcW w:w="0" w:type="auto"/>
          </w:tcPr>
          <w:p w14:paraId="3514D97D"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w:t>
            </w:r>
          </w:p>
        </w:tc>
        <w:tc>
          <w:tcPr>
            <w:tcW w:w="0" w:type="auto"/>
          </w:tcPr>
          <w:p w14:paraId="7BE8572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+1</w:t>
            </w:r>
          </w:p>
        </w:tc>
      </w:tr>
      <w:tr w:rsidR="004C0841" w:rsidRPr="008D16E1" w14:paraId="3C0ED87B" w14:textId="77777777" w:rsidTr="00562BB2">
        <w:trPr>
          <w:jc w:val="center"/>
        </w:trPr>
        <w:tc>
          <w:tcPr>
            <w:tcW w:w="0" w:type="auto"/>
          </w:tcPr>
          <w:p w14:paraId="635DBF14"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Human Capital Investment</w:t>
            </w:r>
          </w:p>
        </w:tc>
        <w:tc>
          <w:tcPr>
            <w:tcW w:w="0" w:type="auto"/>
          </w:tcPr>
          <w:p w14:paraId="1E784B05"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18</w:t>
            </w:r>
          </w:p>
        </w:tc>
        <w:tc>
          <w:tcPr>
            <w:tcW w:w="0" w:type="auto"/>
          </w:tcPr>
          <w:p w14:paraId="07E2AFC0"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12</w:t>
            </w:r>
          </w:p>
        </w:tc>
        <w:tc>
          <w:tcPr>
            <w:tcW w:w="0" w:type="auto"/>
          </w:tcPr>
          <w:p w14:paraId="1E7CFD5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+6</w:t>
            </w:r>
          </w:p>
        </w:tc>
      </w:tr>
      <w:tr w:rsidR="004C0841" w:rsidRPr="008D16E1" w14:paraId="24F8FB2D" w14:textId="77777777" w:rsidTr="00562BB2">
        <w:trPr>
          <w:jc w:val="center"/>
        </w:trPr>
        <w:tc>
          <w:tcPr>
            <w:tcW w:w="0" w:type="auto"/>
          </w:tcPr>
          <w:p w14:paraId="2093A82C"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 Skills training</w:t>
            </w:r>
          </w:p>
        </w:tc>
        <w:tc>
          <w:tcPr>
            <w:tcW w:w="0" w:type="auto"/>
          </w:tcPr>
          <w:p w14:paraId="5BA7706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11</w:t>
            </w:r>
          </w:p>
        </w:tc>
        <w:tc>
          <w:tcPr>
            <w:tcW w:w="0" w:type="auto"/>
          </w:tcPr>
          <w:p w14:paraId="418F359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7</w:t>
            </w:r>
          </w:p>
        </w:tc>
        <w:tc>
          <w:tcPr>
            <w:tcW w:w="0" w:type="auto"/>
          </w:tcPr>
          <w:p w14:paraId="2E08DC5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+4</w:t>
            </w:r>
          </w:p>
        </w:tc>
      </w:tr>
      <w:tr w:rsidR="004C0841" w:rsidRPr="008D16E1" w14:paraId="4ACD2F78" w14:textId="77777777" w:rsidTr="00562BB2">
        <w:trPr>
          <w:jc w:val="center"/>
        </w:trPr>
        <w:tc>
          <w:tcPr>
            <w:tcW w:w="0" w:type="auto"/>
          </w:tcPr>
          <w:p w14:paraId="7EC8A876"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 Education support</w:t>
            </w:r>
          </w:p>
        </w:tc>
        <w:tc>
          <w:tcPr>
            <w:tcW w:w="0" w:type="auto"/>
          </w:tcPr>
          <w:p w14:paraId="72F3C32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7</w:t>
            </w:r>
          </w:p>
        </w:tc>
        <w:tc>
          <w:tcPr>
            <w:tcW w:w="0" w:type="auto"/>
          </w:tcPr>
          <w:p w14:paraId="0C91CA65"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w:t>
            </w:r>
          </w:p>
        </w:tc>
        <w:tc>
          <w:tcPr>
            <w:tcW w:w="0" w:type="auto"/>
          </w:tcPr>
          <w:p w14:paraId="500E2C7A"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+2</w:t>
            </w:r>
          </w:p>
        </w:tc>
      </w:tr>
      <w:tr w:rsidR="004C0841" w:rsidRPr="008D16E1" w14:paraId="7C8B5C59" w14:textId="77777777" w:rsidTr="00562BB2">
        <w:trPr>
          <w:jc w:val="center"/>
        </w:trPr>
        <w:tc>
          <w:tcPr>
            <w:tcW w:w="0" w:type="auto"/>
          </w:tcPr>
          <w:p w14:paraId="3CA2DEB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Digital Infrastructure</w:t>
            </w:r>
          </w:p>
        </w:tc>
        <w:tc>
          <w:tcPr>
            <w:tcW w:w="0" w:type="auto"/>
          </w:tcPr>
          <w:p w14:paraId="4F460CC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11</w:t>
            </w:r>
          </w:p>
        </w:tc>
        <w:tc>
          <w:tcPr>
            <w:tcW w:w="0" w:type="auto"/>
          </w:tcPr>
          <w:p w14:paraId="4D66393D"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3</w:t>
            </w:r>
          </w:p>
        </w:tc>
        <w:tc>
          <w:tcPr>
            <w:tcW w:w="0" w:type="auto"/>
          </w:tcPr>
          <w:p w14:paraId="65AEC368"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+8</w:t>
            </w:r>
          </w:p>
        </w:tc>
      </w:tr>
      <w:tr w:rsidR="004C0841" w:rsidRPr="008D16E1" w14:paraId="5512E525" w14:textId="77777777" w:rsidTr="00562BB2">
        <w:trPr>
          <w:jc w:val="center"/>
        </w:trPr>
        <w:tc>
          <w:tcPr>
            <w:tcW w:w="0" w:type="auto"/>
          </w:tcPr>
          <w:p w14:paraId="0962ADE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Physical Infrastructure</w:t>
            </w:r>
          </w:p>
        </w:tc>
        <w:tc>
          <w:tcPr>
            <w:tcW w:w="0" w:type="auto"/>
          </w:tcPr>
          <w:p w14:paraId="29B7570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23</w:t>
            </w:r>
          </w:p>
        </w:tc>
        <w:tc>
          <w:tcPr>
            <w:tcW w:w="0" w:type="auto"/>
          </w:tcPr>
          <w:p w14:paraId="7991AF8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38</w:t>
            </w:r>
          </w:p>
        </w:tc>
        <w:tc>
          <w:tcPr>
            <w:tcW w:w="0" w:type="auto"/>
          </w:tcPr>
          <w:p w14:paraId="6506E88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–15</w:t>
            </w:r>
          </w:p>
        </w:tc>
      </w:tr>
      <w:tr w:rsidR="004C0841" w:rsidRPr="008D16E1" w14:paraId="6DC545BD" w14:textId="77777777" w:rsidTr="00562BB2">
        <w:trPr>
          <w:jc w:val="center"/>
        </w:trPr>
        <w:tc>
          <w:tcPr>
            <w:tcW w:w="0" w:type="auto"/>
          </w:tcPr>
          <w:p w14:paraId="50EDAA6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 Roads &amp; bridges</w:t>
            </w:r>
          </w:p>
        </w:tc>
        <w:tc>
          <w:tcPr>
            <w:tcW w:w="0" w:type="auto"/>
          </w:tcPr>
          <w:p w14:paraId="48B0570A"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15</w:t>
            </w:r>
          </w:p>
        </w:tc>
        <w:tc>
          <w:tcPr>
            <w:tcW w:w="0" w:type="auto"/>
          </w:tcPr>
          <w:p w14:paraId="3007F7F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25</w:t>
            </w:r>
          </w:p>
        </w:tc>
        <w:tc>
          <w:tcPr>
            <w:tcW w:w="0" w:type="auto"/>
          </w:tcPr>
          <w:p w14:paraId="3CC1B18D"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–10</w:t>
            </w:r>
          </w:p>
        </w:tc>
      </w:tr>
      <w:tr w:rsidR="004C0841" w:rsidRPr="008D16E1" w14:paraId="27B5A1EC" w14:textId="77777777" w:rsidTr="00562BB2">
        <w:trPr>
          <w:jc w:val="center"/>
        </w:trPr>
        <w:tc>
          <w:tcPr>
            <w:tcW w:w="0" w:type="auto"/>
          </w:tcPr>
          <w:p w14:paraId="4411437E"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 Water systems</w:t>
            </w:r>
          </w:p>
        </w:tc>
        <w:tc>
          <w:tcPr>
            <w:tcW w:w="0" w:type="auto"/>
          </w:tcPr>
          <w:p w14:paraId="65571EE6"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8</w:t>
            </w:r>
          </w:p>
        </w:tc>
        <w:tc>
          <w:tcPr>
            <w:tcW w:w="0" w:type="auto"/>
          </w:tcPr>
          <w:p w14:paraId="5A494D7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13</w:t>
            </w:r>
          </w:p>
        </w:tc>
        <w:tc>
          <w:tcPr>
            <w:tcW w:w="0" w:type="auto"/>
          </w:tcPr>
          <w:p w14:paraId="492EE936"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–5</w:t>
            </w:r>
          </w:p>
        </w:tc>
      </w:tr>
      <w:tr w:rsidR="004C0841" w:rsidRPr="008D16E1" w14:paraId="389A2802" w14:textId="77777777" w:rsidTr="00562BB2">
        <w:trPr>
          <w:jc w:val="center"/>
        </w:trPr>
        <w:tc>
          <w:tcPr>
            <w:tcW w:w="0" w:type="auto"/>
          </w:tcPr>
          <w:p w14:paraId="7E11A46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Social Assistance</w:t>
            </w:r>
          </w:p>
        </w:tc>
        <w:tc>
          <w:tcPr>
            <w:tcW w:w="0" w:type="auto"/>
          </w:tcPr>
          <w:p w14:paraId="05DC590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16</w:t>
            </w:r>
          </w:p>
        </w:tc>
        <w:tc>
          <w:tcPr>
            <w:tcW w:w="0" w:type="auto"/>
          </w:tcPr>
          <w:p w14:paraId="714F82E8"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26</w:t>
            </w:r>
          </w:p>
        </w:tc>
        <w:tc>
          <w:tcPr>
            <w:tcW w:w="0" w:type="auto"/>
          </w:tcPr>
          <w:p w14:paraId="125DEEAD"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–10</w:t>
            </w:r>
          </w:p>
        </w:tc>
      </w:tr>
    </w:tbl>
    <w:p w14:paraId="2D42788B" w14:textId="51819ADE" w:rsidR="004C0841" w:rsidRPr="008D16E1" w:rsidRDefault="00181BDB">
      <w:pPr>
        <w:spacing w:line="276" w:lineRule="auto"/>
        <w:contextualSpacing/>
        <w:rPr>
          <w:rFonts w:ascii="Times New Roman" w:eastAsia="Times New Roman"/>
          <w:sz w:val="24"/>
          <w:szCs w:val="24"/>
        </w:rPr>
      </w:pPr>
      <w:r w:rsidRPr="008D16E1">
        <w:rPr>
          <w:rFonts w:ascii="Times New Roman" w:eastAsia="Times New Roman"/>
          <w:sz w:val="24"/>
          <w:szCs w:val="24"/>
        </w:rPr>
        <w:t>Note: Allocations represent mean percentages across five villages per treatment condition</w:t>
      </w:r>
      <w:r w:rsidR="00C23D9E">
        <w:rPr>
          <w:rFonts w:ascii="Times New Roman" w:eastAsia="Times New Roman"/>
          <w:sz w:val="24"/>
          <w:szCs w:val="24"/>
        </w:rPr>
        <w:t>.</w:t>
      </w:r>
      <w:r w:rsidR="00562BB2" w:rsidRPr="008D16E1">
        <w:rPr>
          <w:rFonts w:ascii="Times New Roman" w:eastAsia="Times New Roman"/>
          <w:sz w:val="24"/>
          <w:szCs w:val="24"/>
        </w:rPr>
        <w:t xml:space="preserve"> </w:t>
      </w:r>
      <w:r w:rsidRPr="008D16E1">
        <w:rPr>
          <w:rFonts w:ascii="Times New Roman" w:eastAsia="Times New Roman"/>
          <w:sz w:val="24"/>
          <w:szCs w:val="24"/>
        </w:rPr>
        <w:t xml:space="preserve">Budget totals exclude mandatory government transfers with predetermined </w:t>
      </w:r>
      <w:r w:rsidR="00C23D9E">
        <w:rPr>
          <w:rFonts w:ascii="Times New Roman" w:eastAsia="Times New Roman"/>
          <w:sz w:val="24"/>
          <w:szCs w:val="24"/>
        </w:rPr>
        <w:t>allocations (village official salaries, etc.). Statistical significance testing via an independent-samples t-test: p &lt; 0.05 for differences in Economic Development, Human Capital, Digital Infrastructure, Physical Infrastructure, and Social Assistance.</w:t>
      </w:r>
    </w:p>
    <w:p w14:paraId="6A1741C3" w14:textId="77777777" w:rsidR="004C0841" w:rsidRPr="008D16E1" w:rsidRDefault="004C0841">
      <w:pPr>
        <w:spacing w:line="276" w:lineRule="auto"/>
        <w:contextualSpacing/>
        <w:rPr>
          <w:rFonts w:ascii="Times New Roman" w:eastAsia="Times New Roman"/>
          <w:sz w:val="24"/>
          <w:szCs w:val="24"/>
        </w:rPr>
      </w:pPr>
    </w:p>
    <w:p w14:paraId="326B0911" w14:textId="77777777"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reallocation patterns carry important implications for development effectiveness and efficiency. By concentrating resources on empirically-identified high-leverage factors (economic diversification, human capital, digital connectivity) rather than diffusing efforts across numerous activities, AI-supported villages positioned themselves for potentially greater resilience gains per dollar invested. However, this efficiency-oriented allocation strategy may generate political tensions if visible, constituency-serving projects (roads, water systems, social transfers) receive reduced resources, highlighting the tension </w:t>
      </w:r>
      <w:r w:rsidRPr="008D16E1">
        <w:rPr>
          <w:rFonts w:ascii="Times New Roman" w:eastAsia="Times New Roman"/>
          <w:sz w:val="24"/>
          <w:szCs w:val="24"/>
        </w:rPr>
        <w:lastRenderedPageBreak/>
        <w:t>between technocratic optimization and political sustainability. Several AI-supported village leaders privately expressed concern about potential electoral backlash from reduced infrastructure spending, despite intellectual agreement that diversification investments offered superior long-term returns. This underscores that evidence-based planning operates within political constraints that may limit reform ambition regardless of analytical sophistication.</w:t>
      </w:r>
    </w:p>
    <w:p w14:paraId="0C0E0367" w14:textId="45C90783"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Process quality assessment </w:t>
      </w:r>
      <w:r w:rsidR="00C23D9E">
        <w:rPr>
          <w:rFonts w:ascii="Times New Roman" w:eastAsia="Times New Roman"/>
          <w:sz w:val="24"/>
          <w:szCs w:val="24"/>
        </w:rPr>
        <w:t>using structured observation protocols revealed that AI-supported villages exhibited significantly greater breadth of stakeholder participation, with an average of 47 unique participants across planning forums,</w:t>
      </w:r>
      <w:r w:rsidRPr="008D16E1">
        <w:rPr>
          <w:rFonts w:ascii="Times New Roman" w:eastAsia="Times New Roman"/>
          <w:sz w:val="24"/>
          <w:szCs w:val="24"/>
        </w:rPr>
        <w:t xml:space="preserve"> compared to 32 in conventional villages (p &lt; 0.01). This increased participation appeared attributable to several mechanisms. First, the novelty and perceived sophistication of AI-generated analysis attracted curious community members who typically avoided planning forums. Second, the visual presentation formats (maps, charts, infographics) proved more engaging and accessible than text-heavy conventional planning documents, reducing cognitive barriers to participation. Third, the framing of AI outputs as discussion prompts rather than prescriptive solutions invited broader input, as participants felt their contributions mattered rather than merely rubber-stamping predetermined plans.</w:t>
      </w:r>
    </w:p>
    <w:p w14:paraId="4AD14827" w14:textId="1A55EDD2"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Deliberation quality, assessed through content analysis of forum transcripts, similarly favored AI-supported processes. Treatment village deliberations exhibited higher proportions of evidence-referenced arguments (42% of speaking turns cited specific data vs. 18% in control villages), more explicit consideration of trade-offs and opportunity costs (mentioned in 38% vs. 14% of deliberations), and greater forward-looking orientation discussing anticipated future conditions (32% vs. 19% of discussion time). These patterns suggest that AI integration elevated discourse quality by providing </w:t>
      </w:r>
      <w:r w:rsidR="00C23D9E">
        <w:rPr>
          <w:rFonts w:ascii="Times New Roman" w:eastAsia="Times New Roman"/>
          <w:sz w:val="24"/>
          <w:szCs w:val="24"/>
        </w:rPr>
        <w:t xml:space="preserve">a common factual foundation for debate and introducing systematic analytical frameworks that structured the </w:t>
      </w:r>
      <w:r w:rsidRPr="008D16E1">
        <w:rPr>
          <w:rFonts w:ascii="Times New Roman" w:eastAsia="Times New Roman"/>
          <w:sz w:val="24"/>
          <w:szCs w:val="24"/>
        </w:rPr>
        <w:t>consideration of complex multi-dimensional challenges. However, some sacrifice of participatory spontaneity appeared evident, with AI-supported forums following more structured agendas that potentially constrained free-form discussion and emergent priority identification valued in deliberative democracy theory.</w:t>
      </w:r>
    </w:p>
    <w:p w14:paraId="7C76B3A1" w14:textId="77777777" w:rsidR="004C0841" w:rsidRPr="008D16E1" w:rsidRDefault="004C0841" w:rsidP="00562BB2">
      <w:pPr>
        <w:spacing w:line="276" w:lineRule="auto"/>
        <w:ind w:firstLine="426"/>
        <w:contextualSpacing/>
        <w:rPr>
          <w:rFonts w:ascii="Times New Roman" w:eastAsia="Times New Roman"/>
          <w:sz w:val="24"/>
          <w:szCs w:val="24"/>
        </w:rPr>
      </w:pPr>
    </w:p>
    <w:p w14:paraId="5452D8E6" w14:textId="77777777" w:rsidR="004C0841" w:rsidRPr="008D16E1" w:rsidRDefault="00181BDB">
      <w:pPr>
        <w:spacing w:line="276" w:lineRule="auto"/>
        <w:contextualSpacing/>
        <w:jc w:val="center"/>
        <w:rPr>
          <w:rFonts w:ascii="Times New Roman" w:eastAsia="Times New Roman"/>
          <w:b/>
          <w:bCs/>
          <w:sz w:val="24"/>
          <w:szCs w:val="24"/>
        </w:rPr>
      </w:pPr>
      <w:r w:rsidRPr="008D16E1">
        <w:rPr>
          <w:rFonts w:ascii="Times New Roman" w:eastAsia="Times New Roman"/>
          <w:b/>
          <w:bCs/>
          <w:noProof/>
          <w:sz w:val="24"/>
          <w:szCs w:val="24"/>
        </w:rPr>
        <w:drawing>
          <wp:inline distT="0" distB="0" distL="0" distR="0" wp14:anchorId="0B1AC1E1" wp14:editId="1C8C8B97">
            <wp:extent cx="3718560" cy="2397125"/>
            <wp:effectExtent l="0" t="0" r="2540" b="3175"/>
            <wp:docPr id="53817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7124" name="Picture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57444" cy="2422267"/>
                    </a:xfrm>
                    <a:prstGeom prst="rect">
                      <a:avLst/>
                    </a:prstGeom>
                  </pic:spPr>
                </pic:pic>
              </a:graphicData>
            </a:graphic>
          </wp:inline>
        </w:drawing>
      </w:r>
    </w:p>
    <w:p w14:paraId="59C9CED7" w14:textId="36CAD383" w:rsidR="004C0841" w:rsidRPr="008D16E1" w:rsidRDefault="00181BDB">
      <w:pPr>
        <w:spacing w:line="276" w:lineRule="auto"/>
        <w:contextualSpacing/>
        <w:jc w:val="center"/>
        <w:rPr>
          <w:rFonts w:ascii="Times New Roman" w:eastAsia="Times New Roman"/>
          <w:sz w:val="24"/>
          <w:szCs w:val="24"/>
        </w:rPr>
      </w:pPr>
      <w:r w:rsidRPr="008D16E1">
        <w:rPr>
          <w:rFonts w:ascii="Times New Roman" w:eastAsia="Times New Roman"/>
          <w:b/>
          <w:bCs/>
          <w:sz w:val="24"/>
          <w:szCs w:val="24"/>
        </w:rPr>
        <w:lastRenderedPageBreak/>
        <w:t>Figure 4</w:t>
      </w:r>
      <w:r w:rsidR="00562BB2" w:rsidRPr="008D16E1">
        <w:rPr>
          <w:rFonts w:ascii="Times New Roman" w:eastAsia="Times New Roman"/>
          <w:b/>
          <w:bCs/>
          <w:sz w:val="24"/>
          <w:szCs w:val="24"/>
        </w:rPr>
        <w:t>.</w:t>
      </w:r>
      <w:r w:rsidRPr="008D16E1">
        <w:rPr>
          <w:rFonts w:ascii="Times New Roman" w:eastAsia="Times New Roman"/>
          <w:b/>
          <w:bCs/>
          <w:sz w:val="24"/>
          <w:szCs w:val="24"/>
        </w:rPr>
        <w:t xml:space="preserve"> </w:t>
      </w:r>
      <w:r w:rsidRPr="008D16E1">
        <w:rPr>
          <w:rFonts w:ascii="Times New Roman" w:eastAsia="Times New Roman"/>
          <w:sz w:val="24"/>
          <w:szCs w:val="24"/>
        </w:rPr>
        <w:t>Comparison of Planning Process Characteristics - AI-Supported vs. Conventional Villages</w:t>
      </w:r>
    </w:p>
    <w:p w14:paraId="25AB5F6E" w14:textId="77777777" w:rsidR="004C0841" w:rsidRPr="008D16E1" w:rsidRDefault="004C0841">
      <w:pPr>
        <w:spacing w:line="276" w:lineRule="auto"/>
        <w:contextualSpacing/>
        <w:rPr>
          <w:rFonts w:ascii="Times New Roman" w:eastAsia="Times New Roman"/>
          <w:sz w:val="24"/>
          <w:szCs w:val="24"/>
        </w:rPr>
      </w:pPr>
    </w:p>
    <w:p w14:paraId="452B4FCC" w14:textId="396087D7"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Preliminary implementation efficiency analysis, acknowledging the limited six-month observation window, identified promising patterns warranting longer-term follow-up. AI-supported villages demonstrated 27% faster program initiation timelines (mean 6.8 weeks from planning approval to implementation commencement vs. 9.3 weeks for conventional villages), attributable to the greater implementation specificity and stakeholder buy-in generated through evidence-based planning processes. Budget execution rates during the initial six months reached 64% in AI-supported villages compared to 51% in conventional villages, suggesting improved project readiness and reduced implementation obstacles</w:t>
      </w:r>
      <w:r w:rsidR="00C23D9E">
        <w:rPr>
          <w:rFonts w:ascii="Times New Roman" w:eastAsia="Times New Roman"/>
          <w:sz w:val="24"/>
          <w:szCs w:val="24"/>
        </w:rPr>
        <w:t>. However,</w:t>
      </w:r>
      <w:r w:rsidRPr="008D16E1">
        <w:rPr>
          <w:rFonts w:ascii="Times New Roman" w:eastAsia="Times New Roman"/>
          <w:sz w:val="24"/>
          <w:szCs w:val="24"/>
        </w:rPr>
        <w:t xml:space="preserve"> both rates remain below optimal levels</w:t>
      </w:r>
      <w:r w:rsidR="00C23D9E">
        <w:rPr>
          <w:rFonts w:ascii="Times New Roman" w:eastAsia="Times New Roman"/>
          <w:sz w:val="24"/>
          <w:szCs w:val="24"/>
        </w:rPr>
        <w:t>,</w:t>
      </w:r>
      <w:r w:rsidRPr="008D16E1">
        <w:rPr>
          <w:rFonts w:ascii="Times New Roman" w:eastAsia="Times New Roman"/>
          <w:sz w:val="24"/>
          <w:szCs w:val="24"/>
        </w:rPr>
        <w:t xml:space="preserve"> indicating persistent capacity constraints.</w:t>
      </w:r>
    </w:p>
    <w:p w14:paraId="24A60808" w14:textId="37D38B61"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Early outcome indicators, while requiring cautious interpretation given short timeframes and limited statistical power, showed encouraging trends for AI-supported villages. Household survey data collected in August 2024 </w:t>
      </w:r>
      <w:r w:rsidR="00C23D9E">
        <w:rPr>
          <w:rFonts w:ascii="Times New Roman" w:eastAsia="Times New Roman"/>
          <w:sz w:val="24"/>
          <w:szCs w:val="24"/>
        </w:rPr>
        <w:t>showed a 7.2% increase in the mean household income diversification index in treatment villages, compared with</w:t>
      </w:r>
      <w:r w:rsidRPr="008D16E1">
        <w:rPr>
          <w:rFonts w:ascii="Times New Roman" w:eastAsia="Times New Roman"/>
          <w:sz w:val="24"/>
          <w:szCs w:val="24"/>
        </w:rPr>
        <w:t xml:space="preserve"> 2.1% in control villages (difference-in-differences estimate: +5.1 percentage points, p = 0.08). Digital literacy self-assessment scores improved by 12.3% in treatment villages compared to 4.6% in control villages (+7.7 percentage points, p = 0.03). These preliminary findings hint at potential treatment effects but require rigorous qualification: the six-month window provides insufficient time for major economic transformation, selection effects may bias comparisons despite propensity matching, and observed changes may reflect short-term enthusiasm rather than sustained shifts. </w:t>
      </w:r>
      <w:r w:rsidR="00C23D9E">
        <w:rPr>
          <w:rFonts w:ascii="Times New Roman" w:eastAsia="Times New Roman"/>
          <w:sz w:val="24"/>
          <w:szCs w:val="24"/>
        </w:rPr>
        <w:t xml:space="preserve">A definitive impact assessment requires a </w:t>
      </w:r>
      <w:r w:rsidRPr="008D16E1">
        <w:rPr>
          <w:rFonts w:ascii="Times New Roman" w:eastAsia="Times New Roman"/>
          <w:sz w:val="24"/>
          <w:szCs w:val="24"/>
        </w:rPr>
        <w:t>multi-year longitudinal evaluation with robust identification strategies.</w:t>
      </w:r>
    </w:p>
    <w:p w14:paraId="51C6F4D1" w14:textId="77777777" w:rsidR="004C0841" w:rsidRPr="008D16E1" w:rsidRDefault="004C0841">
      <w:pPr>
        <w:spacing w:line="276" w:lineRule="auto"/>
        <w:contextualSpacing/>
        <w:rPr>
          <w:rFonts w:ascii="Times New Roman" w:eastAsia="Times New Roman"/>
          <w:sz w:val="24"/>
          <w:szCs w:val="24"/>
        </w:rPr>
      </w:pPr>
    </w:p>
    <w:p w14:paraId="2BA3C75E" w14:textId="261A4D23" w:rsidR="004C0841" w:rsidRPr="008D16E1" w:rsidRDefault="00562BB2">
      <w:pPr>
        <w:spacing w:line="276" w:lineRule="auto"/>
        <w:contextualSpacing/>
        <w:rPr>
          <w:rFonts w:ascii="Times New Roman" w:eastAsia="Times New Roman"/>
          <w:b/>
          <w:bCs/>
          <w:sz w:val="24"/>
          <w:szCs w:val="24"/>
        </w:rPr>
      </w:pPr>
      <w:r w:rsidRPr="008D16E1">
        <w:rPr>
          <w:rFonts w:ascii="Times New Roman" w:eastAsia="Times New Roman"/>
          <w:b/>
          <w:bCs/>
          <w:sz w:val="24"/>
          <w:szCs w:val="24"/>
        </w:rPr>
        <w:t>5. </w:t>
      </w:r>
      <w:r w:rsidR="00181BDB" w:rsidRPr="008D16E1">
        <w:rPr>
          <w:rFonts w:ascii="Times New Roman" w:eastAsia="Times New Roman"/>
          <w:b/>
          <w:bCs/>
          <w:sz w:val="24"/>
          <w:szCs w:val="24"/>
        </w:rPr>
        <w:t>Projected Impacts and Scenario Analysis: Pathways to Enhanced Economic Resilience</w:t>
      </w:r>
    </w:p>
    <w:p w14:paraId="1953F4F5" w14:textId="1F62E0AB"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Beyond retrospective analysis of baseline conditions and implemented interventions, the research employed the calibrated AI models to conduct forward-looking scenario analysis exploring potential resilience trajectories under alternative policy choices. This prospective analytical dimension </w:t>
      </w:r>
      <w:r w:rsidR="00C23D9E">
        <w:rPr>
          <w:rFonts w:ascii="Times New Roman" w:eastAsia="Times New Roman"/>
          <w:sz w:val="24"/>
          <w:szCs w:val="24"/>
        </w:rPr>
        <w:t xml:space="preserve">is a crucial value proposition of predictive modeling, enabling stakeholders to evaluate the </w:t>
      </w:r>
      <w:r w:rsidRPr="008D16E1">
        <w:rPr>
          <w:rFonts w:ascii="Times New Roman" w:eastAsia="Times New Roman"/>
          <w:sz w:val="24"/>
          <w:szCs w:val="24"/>
        </w:rPr>
        <w:t>likely outcomes of investment strategies before committing resources and political capital. The scenario analysis framework examined three stylized intervention packages reflecting different development philosophies, simulating expected VERI evolution over a five-year horizon (2024-2029) under each strategy.</w:t>
      </w:r>
    </w:p>
    <w:p w14:paraId="3C812EFC" w14:textId="5BA6FB73"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The baseline scenario (Business-as-Usual) extrapolated current trends and typical development program implementation, assuming modest incremental improvements in infrastructure (</w:t>
      </w:r>
      <w:r w:rsidR="00C23D9E">
        <w:rPr>
          <w:rFonts w:ascii="Times New Roman" w:eastAsia="Times New Roman"/>
          <w:sz w:val="24"/>
          <w:szCs w:val="24"/>
        </w:rPr>
        <w:t xml:space="preserve">a 5-point average gain per village), minimal diversification progress (a 3-point gain), and continued human capital accumulation through natural demographic transitions (a </w:t>
      </w:r>
      <w:r w:rsidRPr="008D16E1">
        <w:rPr>
          <w:rFonts w:ascii="Times New Roman" w:eastAsia="Times New Roman"/>
          <w:sz w:val="24"/>
          <w:szCs w:val="24"/>
        </w:rPr>
        <w:t xml:space="preserve">4-point gain). Under these conservative assumptions, model projections </w:t>
      </w:r>
      <w:r w:rsidRPr="008D16E1">
        <w:rPr>
          <w:rFonts w:ascii="Times New Roman" w:eastAsia="Times New Roman"/>
          <w:sz w:val="24"/>
          <w:szCs w:val="24"/>
        </w:rPr>
        <w:lastRenderedPageBreak/>
        <w:t xml:space="preserve">suggest average VERI gains of 6.8 points over five years, representing 14% improvement from </w:t>
      </w:r>
      <w:r w:rsidR="00C23D9E">
        <w:rPr>
          <w:rFonts w:ascii="Times New Roman" w:eastAsia="Times New Roman"/>
          <w:sz w:val="24"/>
          <w:szCs w:val="24"/>
        </w:rPr>
        <w:t xml:space="preserve">the </w:t>
      </w:r>
      <w:r w:rsidRPr="008D16E1">
        <w:rPr>
          <w:rFonts w:ascii="Times New Roman" w:eastAsia="Times New Roman"/>
          <w:sz w:val="24"/>
          <w:szCs w:val="24"/>
        </w:rPr>
        <w:t xml:space="preserve">baseline mean of 47. While positive, this trajectory would leave the majority of study villages in </w:t>
      </w:r>
      <w:r w:rsidR="00C23D9E">
        <w:rPr>
          <w:rFonts w:ascii="Times New Roman" w:eastAsia="Times New Roman"/>
          <w:sz w:val="24"/>
          <w:szCs w:val="24"/>
        </w:rPr>
        <w:t xml:space="preserve">a vulnerable status, with only Village A approaching a </w:t>
      </w:r>
      <w:r w:rsidRPr="008D16E1">
        <w:rPr>
          <w:rFonts w:ascii="Times New Roman" w:eastAsia="Times New Roman"/>
          <w:sz w:val="24"/>
          <w:szCs w:val="24"/>
        </w:rPr>
        <w:t xml:space="preserve">moderately resilient threshold. Village C, starting from </w:t>
      </w:r>
      <w:r w:rsidR="00C23D9E">
        <w:rPr>
          <w:rFonts w:ascii="Times New Roman" w:eastAsia="Times New Roman"/>
          <w:sz w:val="24"/>
          <w:szCs w:val="24"/>
        </w:rPr>
        <w:t xml:space="preserve">a </w:t>
      </w:r>
      <w:r w:rsidRPr="008D16E1">
        <w:rPr>
          <w:rFonts w:ascii="Times New Roman" w:eastAsia="Times New Roman"/>
          <w:sz w:val="24"/>
          <w:szCs w:val="24"/>
        </w:rPr>
        <w:t xml:space="preserve">highly vulnerable baseline of 32, would reach only 37 under business-as-usual, remaining </w:t>
      </w:r>
      <w:r w:rsidR="00C23D9E">
        <w:rPr>
          <w:rFonts w:ascii="Times New Roman" w:eastAsia="Times New Roman"/>
          <w:sz w:val="24"/>
          <w:szCs w:val="24"/>
        </w:rPr>
        <w:t>intensely</w:t>
      </w:r>
      <w:r w:rsidRPr="008D16E1">
        <w:rPr>
          <w:rFonts w:ascii="Times New Roman" w:eastAsia="Times New Roman"/>
          <w:sz w:val="24"/>
          <w:szCs w:val="24"/>
        </w:rPr>
        <w:t xml:space="preserve"> fragile. These projections underscore the insufficiency of incremental approaches for achieving transformative resilience building within policy-relevant timeframes.</w:t>
      </w:r>
    </w:p>
    <w:p w14:paraId="42F44E37" w14:textId="3975AD31"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digital transformation scenario prioritizes intensive investment in digital infrastructure and literacy, </w:t>
      </w:r>
      <w:r w:rsidR="00C23D9E">
        <w:rPr>
          <w:rFonts w:ascii="Times New Roman" w:eastAsia="Times New Roman"/>
          <w:sz w:val="24"/>
          <w:szCs w:val="24"/>
        </w:rPr>
        <w:t xml:space="preserve">resulting in a 20-point improvement in digital access scores, alongside complementary 10-point gains in financial inclusion (enabled by digital payment platforms) and 8-point improvements in human capital </w:t>
      </w:r>
      <w:r w:rsidRPr="008D16E1">
        <w:rPr>
          <w:rFonts w:ascii="Times New Roman" w:eastAsia="Times New Roman"/>
          <w:sz w:val="24"/>
          <w:szCs w:val="24"/>
        </w:rPr>
        <w:t xml:space="preserve">(digital skills training). This strategy reflects growing consensus about connectivity as </w:t>
      </w:r>
      <w:r w:rsidR="00C23D9E">
        <w:rPr>
          <w:rFonts w:ascii="Times New Roman" w:eastAsia="Times New Roman"/>
          <w:sz w:val="24"/>
          <w:szCs w:val="24"/>
        </w:rPr>
        <w:t xml:space="preserve">a </w:t>
      </w:r>
      <w:r w:rsidRPr="008D16E1">
        <w:rPr>
          <w:rFonts w:ascii="Times New Roman" w:eastAsia="Times New Roman"/>
          <w:sz w:val="24"/>
          <w:szCs w:val="24"/>
        </w:rPr>
        <w:t xml:space="preserve">foundational enabler of modern economic participation. Model simulations project average VERI gains of 11.4 points over five years (24% improvement), substantially exceeding business-as-usual outcomes. Village A would cross into highly resilient territory (VERI = 75), while Villages B, D, and E would achieve moderately resilient status. Even Village C, despite persistent isolation challenges, would reach </w:t>
      </w:r>
      <w:r w:rsidR="00C23D9E">
        <w:rPr>
          <w:rFonts w:ascii="Times New Roman" w:eastAsia="Times New Roman"/>
          <w:sz w:val="24"/>
          <w:szCs w:val="24"/>
        </w:rPr>
        <w:t xml:space="preserve">a </w:t>
      </w:r>
      <w:r w:rsidRPr="008D16E1">
        <w:rPr>
          <w:rFonts w:ascii="Times New Roman" w:eastAsia="Times New Roman"/>
          <w:sz w:val="24"/>
          <w:szCs w:val="24"/>
        </w:rPr>
        <w:t xml:space="preserve">vulnerable-tier upper range (VERI = 48), positioning for further progress. The superior projected outcomes validate </w:t>
      </w:r>
      <w:r w:rsidR="00C23D9E">
        <w:rPr>
          <w:rFonts w:ascii="Times New Roman" w:eastAsia="Times New Roman"/>
          <w:sz w:val="24"/>
          <w:szCs w:val="24"/>
        </w:rPr>
        <w:t>the primacy of digital infrastructure identified in the variable importance analysis, suggesting efficiency advantages from</w:t>
      </w:r>
      <w:r w:rsidRPr="008D16E1">
        <w:rPr>
          <w:rFonts w:ascii="Times New Roman" w:eastAsia="Times New Roman"/>
          <w:sz w:val="24"/>
          <w:szCs w:val="24"/>
        </w:rPr>
        <w:t xml:space="preserve"> concentrated investment in high-leverage factors.</w:t>
      </w:r>
    </w:p>
    <w:p w14:paraId="31697790" w14:textId="77777777" w:rsidR="004C0841" w:rsidRPr="008D16E1" w:rsidRDefault="004C0841">
      <w:pPr>
        <w:spacing w:line="276" w:lineRule="auto"/>
        <w:contextualSpacing/>
        <w:rPr>
          <w:rFonts w:ascii="Times New Roman" w:eastAsia="Times New Roman"/>
          <w:sz w:val="24"/>
          <w:szCs w:val="24"/>
        </w:rPr>
      </w:pPr>
    </w:p>
    <w:p w14:paraId="011F968C" w14:textId="14BE0DB5" w:rsidR="004C0841" w:rsidRPr="008D16E1" w:rsidRDefault="00181BDB" w:rsidP="00562BB2">
      <w:pPr>
        <w:spacing w:line="276" w:lineRule="auto"/>
        <w:contextualSpacing/>
        <w:jc w:val="center"/>
        <w:rPr>
          <w:rFonts w:ascii="Times New Roman" w:eastAsia="Times New Roman"/>
          <w:sz w:val="24"/>
          <w:szCs w:val="24"/>
        </w:rPr>
      </w:pPr>
      <w:r w:rsidRPr="008D16E1">
        <w:rPr>
          <w:rFonts w:ascii="Times New Roman" w:eastAsia="Times New Roman"/>
          <w:b/>
          <w:bCs/>
          <w:sz w:val="24"/>
          <w:szCs w:val="24"/>
        </w:rPr>
        <w:t>Table 5</w:t>
      </w:r>
      <w:r w:rsidR="00562BB2" w:rsidRPr="008D16E1">
        <w:rPr>
          <w:rFonts w:ascii="Times New Roman" w:eastAsia="Times New Roman"/>
          <w:b/>
          <w:bCs/>
          <w:sz w:val="24"/>
          <w:szCs w:val="24"/>
        </w:rPr>
        <w:t xml:space="preserve">. </w:t>
      </w:r>
      <w:r w:rsidRPr="008D16E1">
        <w:rPr>
          <w:rFonts w:ascii="Times New Roman" w:eastAsia="Times New Roman"/>
          <w:sz w:val="24"/>
          <w:szCs w:val="24"/>
        </w:rPr>
        <w:t>Projected VERI Changes Under Alternative Intervention Scenarios (5-Year Horizon)</w:t>
      </w:r>
    </w:p>
    <w:tbl>
      <w:tblPr>
        <w:tblStyle w:val="KisiTabe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876"/>
        <w:gridCol w:w="1258"/>
        <w:gridCol w:w="1520"/>
        <w:gridCol w:w="1660"/>
        <w:gridCol w:w="1594"/>
        <w:gridCol w:w="1645"/>
      </w:tblGrid>
      <w:tr w:rsidR="004C0841" w:rsidRPr="008D16E1" w14:paraId="2585D21B" w14:textId="77777777" w:rsidTr="00562BB2">
        <w:trPr>
          <w:jc w:val="center"/>
        </w:trPr>
        <w:tc>
          <w:tcPr>
            <w:tcW w:w="0" w:type="auto"/>
          </w:tcPr>
          <w:p w14:paraId="33DF2B10"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Village</w:t>
            </w:r>
          </w:p>
        </w:tc>
        <w:tc>
          <w:tcPr>
            <w:tcW w:w="0" w:type="auto"/>
          </w:tcPr>
          <w:p w14:paraId="1383D31E"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Baseline 2024</w:t>
            </w:r>
          </w:p>
        </w:tc>
        <w:tc>
          <w:tcPr>
            <w:tcW w:w="0" w:type="auto"/>
          </w:tcPr>
          <w:p w14:paraId="4346DDC2"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Business-as-Usual</w:t>
            </w:r>
          </w:p>
        </w:tc>
        <w:tc>
          <w:tcPr>
            <w:tcW w:w="0" w:type="auto"/>
          </w:tcPr>
          <w:p w14:paraId="10B631FC"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Digital Transform.</w:t>
            </w:r>
          </w:p>
        </w:tc>
        <w:tc>
          <w:tcPr>
            <w:tcW w:w="0" w:type="auto"/>
          </w:tcPr>
          <w:p w14:paraId="38A84BE4"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Economic Diversif.</w:t>
            </w:r>
          </w:p>
        </w:tc>
        <w:tc>
          <w:tcPr>
            <w:tcW w:w="0" w:type="auto"/>
          </w:tcPr>
          <w:p w14:paraId="2B743E46" w14:textId="77777777" w:rsidR="004C0841" w:rsidRPr="008D16E1" w:rsidRDefault="00181BDB">
            <w:pPr>
              <w:spacing w:line="276" w:lineRule="auto"/>
              <w:contextualSpacing/>
              <w:jc w:val="center"/>
              <w:rPr>
                <w:rFonts w:ascii="Times New Roman" w:eastAsia="Times New Roman"/>
                <w:b/>
                <w:bCs/>
              </w:rPr>
            </w:pPr>
            <w:r w:rsidRPr="008D16E1">
              <w:rPr>
                <w:rFonts w:ascii="Times New Roman" w:eastAsia="Times New Roman"/>
                <w:b/>
                <w:bCs/>
              </w:rPr>
              <w:t>Integrated Package</w:t>
            </w:r>
          </w:p>
        </w:tc>
      </w:tr>
      <w:tr w:rsidR="004C0841" w:rsidRPr="008D16E1" w14:paraId="3C93F986" w14:textId="77777777" w:rsidTr="00562BB2">
        <w:trPr>
          <w:jc w:val="center"/>
        </w:trPr>
        <w:tc>
          <w:tcPr>
            <w:tcW w:w="0" w:type="auto"/>
          </w:tcPr>
          <w:p w14:paraId="19DA250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A</w:t>
            </w:r>
          </w:p>
        </w:tc>
        <w:tc>
          <w:tcPr>
            <w:tcW w:w="0" w:type="auto"/>
          </w:tcPr>
          <w:p w14:paraId="60CA9757"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64</w:t>
            </w:r>
          </w:p>
        </w:tc>
        <w:tc>
          <w:tcPr>
            <w:tcW w:w="0" w:type="auto"/>
          </w:tcPr>
          <w:p w14:paraId="571CC7BC"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71 (+7)</w:t>
            </w:r>
          </w:p>
        </w:tc>
        <w:tc>
          <w:tcPr>
            <w:tcW w:w="0" w:type="auto"/>
          </w:tcPr>
          <w:p w14:paraId="06275D0E"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76 (+12)</w:t>
            </w:r>
          </w:p>
        </w:tc>
        <w:tc>
          <w:tcPr>
            <w:tcW w:w="0" w:type="auto"/>
          </w:tcPr>
          <w:p w14:paraId="2F2988D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73 (+9)</w:t>
            </w:r>
          </w:p>
        </w:tc>
        <w:tc>
          <w:tcPr>
            <w:tcW w:w="0" w:type="auto"/>
          </w:tcPr>
          <w:p w14:paraId="6772DCF8"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79 (+15)</w:t>
            </w:r>
          </w:p>
        </w:tc>
      </w:tr>
      <w:tr w:rsidR="004C0841" w:rsidRPr="008D16E1" w14:paraId="3F74132B" w14:textId="77777777" w:rsidTr="00562BB2">
        <w:trPr>
          <w:jc w:val="center"/>
        </w:trPr>
        <w:tc>
          <w:tcPr>
            <w:tcW w:w="0" w:type="auto"/>
          </w:tcPr>
          <w:p w14:paraId="13D864F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B</w:t>
            </w:r>
          </w:p>
        </w:tc>
        <w:tc>
          <w:tcPr>
            <w:tcW w:w="0" w:type="auto"/>
          </w:tcPr>
          <w:p w14:paraId="6FA55487"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48</w:t>
            </w:r>
          </w:p>
        </w:tc>
        <w:tc>
          <w:tcPr>
            <w:tcW w:w="0" w:type="auto"/>
          </w:tcPr>
          <w:p w14:paraId="34A8BD39"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54 (+6)</w:t>
            </w:r>
          </w:p>
        </w:tc>
        <w:tc>
          <w:tcPr>
            <w:tcW w:w="0" w:type="auto"/>
          </w:tcPr>
          <w:p w14:paraId="4870090D"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62 (+14)</w:t>
            </w:r>
          </w:p>
        </w:tc>
        <w:tc>
          <w:tcPr>
            <w:tcW w:w="0" w:type="auto"/>
          </w:tcPr>
          <w:p w14:paraId="0D180D4B"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60 (+12)</w:t>
            </w:r>
          </w:p>
        </w:tc>
        <w:tc>
          <w:tcPr>
            <w:tcW w:w="0" w:type="auto"/>
          </w:tcPr>
          <w:p w14:paraId="6EC2BA5A"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66 (+18)</w:t>
            </w:r>
          </w:p>
        </w:tc>
      </w:tr>
      <w:tr w:rsidR="004C0841" w:rsidRPr="008D16E1" w14:paraId="05944AA9" w14:textId="77777777" w:rsidTr="00562BB2">
        <w:trPr>
          <w:jc w:val="center"/>
        </w:trPr>
        <w:tc>
          <w:tcPr>
            <w:tcW w:w="0" w:type="auto"/>
          </w:tcPr>
          <w:p w14:paraId="631037DA"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C</w:t>
            </w:r>
          </w:p>
        </w:tc>
        <w:tc>
          <w:tcPr>
            <w:tcW w:w="0" w:type="auto"/>
          </w:tcPr>
          <w:p w14:paraId="003BA13B"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32</w:t>
            </w:r>
          </w:p>
        </w:tc>
        <w:tc>
          <w:tcPr>
            <w:tcW w:w="0" w:type="auto"/>
          </w:tcPr>
          <w:p w14:paraId="0AA511A7"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37 (+5)</w:t>
            </w:r>
          </w:p>
        </w:tc>
        <w:tc>
          <w:tcPr>
            <w:tcW w:w="0" w:type="auto"/>
          </w:tcPr>
          <w:p w14:paraId="79A2F68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48 (+16)</w:t>
            </w:r>
          </w:p>
        </w:tc>
        <w:tc>
          <w:tcPr>
            <w:tcW w:w="0" w:type="auto"/>
          </w:tcPr>
          <w:p w14:paraId="7BD79BFA"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41 (+9)</w:t>
            </w:r>
          </w:p>
        </w:tc>
        <w:tc>
          <w:tcPr>
            <w:tcW w:w="0" w:type="auto"/>
          </w:tcPr>
          <w:p w14:paraId="1987B0B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52 (+20)</w:t>
            </w:r>
          </w:p>
        </w:tc>
      </w:tr>
      <w:tr w:rsidR="004C0841" w:rsidRPr="008D16E1" w14:paraId="619A1C89" w14:textId="77777777" w:rsidTr="00562BB2">
        <w:trPr>
          <w:jc w:val="center"/>
        </w:trPr>
        <w:tc>
          <w:tcPr>
            <w:tcW w:w="0" w:type="auto"/>
          </w:tcPr>
          <w:p w14:paraId="2500DC8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D</w:t>
            </w:r>
          </w:p>
        </w:tc>
        <w:tc>
          <w:tcPr>
            <w:tcW w:w="0" w:type="auto"/>
          </w:tcPr>
          <w:p w14:paraId="2D183A06"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51</w:t>
            </w:r>
          </w:p>
        </w:tc>
        <w:tc>
          <w:tcPr>
            <w:tcW w:w="0" w:type="auto"/>
          </w:tcPr>
          <w:p w14:paraId="1576C70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57 (+6)</w:t>
            </w:r>
          </w:p>
        </w:tc>
        <w:tc>
          <w:tcPr>
            <w:tcW w:w="0" w:type="auto"/>
          </w:tcPr>
          <w:p w14:paraId="08BD4E81"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63 (+12)</w:t>
            </w:r>
          </w:p>
        </w:tc>
        <w:tc>
          <w:tcPr>
            <w:tcW w:w="0" w:type="auto"/>
          </w:tcPr>
          <w:p w14:paraId="617955DF"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62 (+11)</w:t>
            </w:r>
          </w:p>
        </w:tc>
        <w:tc>
          <w:tcPr>
            <w:tcW w:w="0" w:type="auto"/>
          </w:tcPr>
          <w:p w14:paraId="06E02FE5"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68 (+17)</w:t>
            </w:r>
          </w:p>
        </w:tc>
      </w:tr>
      <w:tr w:rsidR="004C0841" w:rsidRPr="008D16E1" w14:paraId="305CCB70" w14:textId="77777777" w:rsidTr="00562BB2">
        <w:trPr>
          <w:jc w:val="center"/>
        </w:trPr>
        <w:tc>
          <w:tcPr>
            <w:tcW w:w="0" w:type="auto"/>
          </w:tcPr>
          <w:p w14:paraId="7045A46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E</w:t>
            </w:r>
          </w:p>
        </w:tc>
        <w:tc>
          <w:tcPr>
            <w:tcW w:w="0" w:type="auto"/>
          </w:tcPr>
          <w:p w14:paraId="3AC04407"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43</w:t>
            </w:r>
          </w:p>
        </w:tc>
        <w:tc>
          <w:tcPr>
            <w:tcW w:w="0" w:type="auto"/>
          </w:tcPr>
          <w:p w14:paraId="7CFEA71E"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51 (+8)</w:t>
            </w:r>
          </w:p>
        </w:tc>
        <w:tc>
          <w:tcPr>
            <w:tcW w:w="0" w:type="auto"/>
          </w:tcPr>
          <w:p w14:paraId="505E1D4A"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55 (+12)</w:t>
            </w:r>
          </w:p>
        </w:tc>
        <w:tc>
          <w:tcPr>
            <w:tcW w:w="0" w:type="auto"/>
          </w:tcPr>
          <w:p w14:paraId="45966F3B"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58 (+15)</w:t>
            </w:r>
          </w:p>
        </w:tc>
        <w:tc>
          <w:tcPr>
            <w:tcW w:w="0" w:type="auto"/>
          </w:tcPr>
          <w:p w14:paraId="373611FC"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63 (+20)</w:t>
            </w:r>
          </w:p>
        </w:tc>
      </w:tr>
      <w:tr w:rsidR="004C0841" w:rsidRPr="008D16E1" w14:paraId="21FDA0D2" w14:textId="77777777" w:rsidTr="00562BB2">
        <w:trPr>
          <w:jc w:val="center"/>
        </w:trPr>
        <w:tc>
          <w:tcPr>
            <w:tcW w:w="0" w:type="auto"/>
          </w:tcPr>
          <w:p w14:paraId="72F547D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b/>
                <w:bCs/>
              </w:rPr>
              <w:t>Mean</w:t>
            </w:r>
          </w:p>
        </w:tc>
        <w:tc>
          <w:tcPr>
            <w:tcW w:w="0" w:type="auto"/>
          </w:tcPr>
          <w:p w14:paraId="46D15613"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47</w:t>
            </w:r>
          </w:p>
        </w:tc>
        <w:tc>
          <w:tcPr>
            <w:tcW w:w="0" w:type="auto"/>
          </w:tcPr>
          <w:p w14:paraId="67DFEA72"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54 (+7)</w:t>
            </w:r>
          </w:p>
        </w:tc>
        <w:tc>
          <w:tcPr>
            <w:tcW w:w="0" w:type="auto"/>
          </w:tcPr>
          <w:p w14:paraId="14320590"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61 (+13)</w:t>
            </w:r>
          </w:p>
        </w:tc>
        <w:tc>
          <w:tcPr>
            <w:tcW w:w="0" w:type="auto"/>
          </w:tcPr>
          <w:p w14:paraId="5E0C193C"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59 (+12)</w:t>
            </w:r>
          </w:p>
        </w:tc>
        <w:tc>
          <w:tcPr>
            <w:tcW w:w="0" w:type="auto"/>
          </w:tcPr>
          <w:p w14:paraId="11310E48" w14:textId="77777777" w:rsidR="004C0841" w:rsidRPr="008D16E1" w:rsidRDefault="00181BDB">
            <w:pPr>
              <w:spacing w:line="276" w:lineRule="auto"/>
              <w:contextualSpacing/>
              <w:rPr>
                <w:rFonts w:ascii="Times New Roman" w:eastAsia="Times New Roman"/>
              </w:rPr>
            </w:pPr>
            <w:r w:rsidRPr="008D16E1">
              <w:rPr>
                <w:rFonts w:ascii="Times New Roman" w:eastAsia="Times New Roman"/>
              </w:rPr>
              <w:t>66 (+18)</w:t>
            </w:r>
          </w:p>
        </w:tc>
      </w:tr>
    </w:tbl>
    <w:p w14:paraId="1A0F68C4" w14:textId="77777777" w:rsidR="004C0841" w:rsidRPr="008D16E1" w:rsidRDefault="00181BDB">
      <w:pPr>
        <w:spacing w:line="276" w:lineRule="auto"/>
        <w:contextualSpacing/>
        <w:rPr>
          <w:rFonts w:ascii="Times New Roman" w:eastAsia="Times New Roman"/>
          <w:sz w:val="24"/>
          <w:szCs w:val="24"/>
        </w:rPr>
      </w:pPr>
      <w:r w:rsidRPr="008D16E1">
        <w:rPr>
          <w:rFonts w:ascii="Times New Roman" w:eastAsia="Times New Roman"/>
          <w:sz w:val="24"/>
          <w:szCs w:val="24"/>
        </w:rPr>
        <w:t>Note: Values represent projected VERI scores in 2029 under different policy scenarios</w:t>
      </w:r>
    </w:p>
    <w:p w14:paraId="744549B9" w14:textId="77777777" w:rsidR="004C0841" w:rsidRPr="008D16E1" w:rsidRDefault="004C0841">
      <w:pPr>
        <w:spacing w:line="276" w:lineRule="auto"/>
        <w:contextualSpacing/>
        <w:rPr>
          <w:rFonts w:ascii="Times New Roman" w:eastAsia="Times New Roman"/>
          <w:sz w:val="24"/>
          <w:szCs w:val="24"/>
        </w:rPr>
      </w:pPr>
    </w:p>
    <w:p w14:paraId="07CC130A" w14:textId="0BBF961C"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economic diversification scenario focuses on expanding livelihood </w:t>
      </w:r>
      <w:r w:rsidR="00C23D9E">
        <w:rPr>
          <w:rFonts w:ascii="Times New Roman" w:eastAsia="Times New Roman"/>
          <w:sz w:val="24"/>
          <w:szCs w:val="24"/>
        </w:rPr>
        <w:t>diversity, value-added processing, and market linkages, predicting a 15-point increase in the diversification index and a 10-point increase in financial access, thereby</w:t>
      </w:r>
      <w:r w:rsidRPr="008D16E1">
        <w:rPr>
          <w:rFonts w:ascii="Times New Roman" w:eastAsia="Times New Roman"/>
          <w:sz w:val="24"/>
          <w:szCs w:val="24"/>
        </w:rPr>
        <w:t xml:space="preserve"> supporting microenterprise development. This strategy aligns with traditional development goals of transforming economic structures and promoting rural industrialization. Model projections suggest an average Village Economic Resilience Index (VERI) gain of 11.8 points over five years, slightly exceeding the results of digital transformation strategies. Villages E (+15 points) and B (+12 points) benefit the most, as they face significant economic challenges, while the more diversified Village A shows only a modest gain (+9 </w:t>
      </w:r>
      <w:r w:rsidRPr="008D16E1">
        <w:rPr>
          <w:rFonts w:ascii="Times New Roman" w:eastAsia="Times New Roman"/>
          <w:sz w:val="24"/>
          <w:szCs w:val="24"/>
        </w:rPr>
        <w:lastRenderedPageBreak/>
        <w:t xml:space="preserve">points). This highlights the need for context-specific strategies, with economic diversification yielding the highest returns where </w:t>
      </w:r>
      <w:r w:rsidR="00C23D9E">
        <w:rPr>
          <w:rFonts w:ascii="Times New Roman" w:eastAsia="Times New Roman"/>
          <w:sz w:val="24"/>
          <w:szCs w:val="24"/>
        </w:rPr>
        <w:t>economic concentration poses the most significant vulnerabilities</w:t>
      </w:r>
      <w:r w:rsidRPr="008D16E1">
        <w:rPr>
          <w:rFonts w:ascii="Times New Roman" w:eastAsia="Times New Roman"/>
          <w:sz w:val="24"/>
          <w:szCs w:val="24"/>
        </w:rPr>
        <w:t>.</w:t>
      </w:r>
    </w:p>
    <w:p w14:paraId="00301FCE" w14:textId="363F3ADD"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integrated package scenario involves coordinated investments across multiple resilience dimensions: digital infrastructure (+15 points), economic diversification (+12 points), human capital (+10 points), and financial access (+8 points). This comprehensive strategy recognizes that resilience is driven by multiple reinforcing factors rather than single interventions. Projections show average VERI gains of 18.4 points over five years, a 39% improvement, surpassing the sum of individual strategy effects. The integrated approach also leverages synergy between complementary investments, producing greater returns than sequential interventions. All five villages achieve meaningful </w:t>
      </w:r>
      <w:r w:rsidR="00C23D9E">
        <w:rPr>
          <w:rFonts w:ascii="Times New Roman" w:eastAsia="Times New Roman"/>
          <w:sz w:val="24"/>
          <w:szCs w:val="24"/>
        </w:rPr>
        <w:t>improvements in resilience, with Village C demonstrating the most significant</w:t>
      </w:r>
      <w:r w:rsidRPr="008D16E1">
        <w:rPr>
          <w:rFonts w:ascii="Times New Roman" w:eastAsia="Times New Roman"/>
          <w:sz w:val="24"/>
          <w:szCs w:val="24"/>
        </w:rPr>
        <w:t xml:space="preserve"> gains (+20 points)</w:t>
      </w:r>
      <w:r w:rsidR="00C23D9E">
        <w:rPr>
          <w:rFonts w:ascii="Times New Roman" w:eastAsia="Times New Roman"/>
          <w:sz w:val="24"/>
          <w:szCs w:val="24"/>
        </w:rPr>
        <w:t>. However,</w:t>
      </w:r>
      <w:r w:rsidRPr="008D16E1">
        <w:rPr>
          <w:rFonts w:ascii="Times New Roman" w:eastAsia="Times New Roman"/>
          <w:sz w:val="24"/>
          <w:szCs w:val="24"/>
        </w:rPr>
        <w:t xml:space="preserve"> it remains in the vulnerable category, </w:t>
      </w:r>
      <w:r w:rsidR="00C23D9E">
        <w:rPr>
          <w:rFonts w:ascii="Times New Roman" w:eastAsia="Times New Roman"/>
          <w:sz w:val="24"/>
          <w:szCs w:val="24"/>
        </w:rPr>
        <w:t>underscoring the importance of sustained investment to overcome deep structural constraints, such as</w:t>
      </w:r>
      <w:r w:rsidRPr="008D16E1">
        <w:rPr>
          <w:rFonts w:ascii="Times New Roman" w:eastAsia="Times New Roman"/>
          <w:sz w:val="24"/>
          <w:szCs w:val="24"/>
        </w:rPr>
        <w:t xml:space="preserve"> isolation and limited human capital.</w:t>
      </w:r>
    </w:p>
    <w:p w14:paraId="191E20C4" w14:textId="6C381979"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The Monte Carlo simulation was used to quantify uncertainty in the projections, providing confidence intervals around the predicted outcomes. Results suggest that</w:t>
      </w:r>
      <w:r w:rsidR="00C23D9E">
        <w:rPr>
          <w:rFonts w:ascii="Times New Roman" w:eastAsia="Times New Roman"/>
          <w:sz w:val="24"/>
          <w:szCs w:val="24"/>
        </w:rPr>
        <w:t>, even with the integrated strategy, Villages C and E have 35% and 18% probabilities</w:t>
      </w:r>
      <w:r w:rsidRPr="008D16E1">
        <w:rPr>
          <w:rFonts w:ascii="Times New Roman" w:eastAsia="Times New Roman"/>
          <w:sz w:val="24"/>
          <w:szCs w:val="24"/>
        </w:rPr>
        <w:t>, respectively, of remaining in the vulnerable category after five years. This highlights the uncertainty inherent in development trajectories and emphasizes the importance of risk-informed decision-making. The probabilistic nature of the results fosters appropriate humility regarding the limits of predictive capacity, ensuring that stakeholders remain mindful of uncertainties despite sophisticated modeling.</w:t>
      </w:r>
    </w:p>
    <w:p w14:paraId="4E940208" w14:textId="77777777" w:rsidR="004C0841" w:rsidRPr="008D16E1" w:rsidRDefault="00181BDB">
      <w:pPr>
        <w:spacing w:line="276" w:lineRule="auto"/>
        <w:contextualSpacing/>
        <w:jc w:val="center"/>
        <w:rPr>
          <w:rFonts w:ascii="Times New Roman" w:eastAsia="Times New Roman"/>
          <w:b/>
          <w:bCs/>
          <w:sz w:val="24"/>
          <w:szCs w:val="24"/>
        </w:rPr>
      </w:pPr>
      <w:r w:rsidRPr="008D16E1">
        <w:rPr>
          <w:rFonts w:ascii="Times New Roman" w:eastAsia="Times New Roman"/>
          <w:noProof/>
          <w:sz w:val="24"/>
          <w:szCs w:val="24"/>
        </w:rPr>
        <w:drawing>
          <wp:inline distT="0" distB="0" distL="0" distR="0" wp14:anchorId="56D3D1D5" wp14:editId="1725B824">
            <wp:extent cx="3759200" cy="2586355"/>
            <wp:effectExtent l="0" t="0" r="0" b="4445"/>
            <wp:docPr id="3071545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54567" name="Picture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79972" cy="2600750"/>
                    </a:xfrm>
                    <a:prstGeom prst="rect">
                      <a:avLst/>
                    </a:prstGeom>
                  </pic:spPr>
                </pic:pic>
              </a:graphicData>
            </a:graphic>
          </wp:inline>
        </w:drawing>
      </w:r>
    </w:p>
    <w:p w14:paraId="33DBB17B" w14:textId="73277D3F" w:rsidR="004C0841" w:rsidRPr="008D16E1" w:rsidRDefault="00181BDB">
      <w:pPr>
        <w:spacing w:line="276" w:lineRule="auto"/>
        <w:contextualSpacing/>
        <w:jc w:val="center"/>
        <w:rPr>
          <w:rFonts w:ascii="Times New Roman" w:eastAsia="Times New Roman"/>
          <w:sz w:val="24"/>
          <w:szCs w:val="24"/>
        </w:rPr>
      </w:pPr>
      <w:r w:rsidRPr="008D16E1">
        <w:rPr>
          <w:rFonts w:ascii="Times New Roman" w:eastAsia="Times New Roman"/>
          <w:b/>
          <w:bCs/>
          <w:sz w:val="24"/>
          <w:szCs w:val="24"/>
        </w:rPr>
        <w:t>Figure 5</w:t>
      </w:r>
      <w:r w:rsidR="00562BB2" w:rsidRPr="008D16E1">
        <w:rPr>
          <w:rFonts w:ascii="Times New Roman" w:eastAsia="Times New Roman"/>
          <w:b/>
          <w:bCs/>
          <w:sz w:val="24"/>
          <w:szCs w:val="24"/>
        </w:rPr>
        <w:t>.</w:t>
      </w:r>
      <w:r w:rsidRPr="008D16E1">
        <w:rPr>
          <w:rFonts w:ascii="Times New Roman" w:eastAsia="Times New Roman"/>
          <w:b/>
          <w:bCs/>
          <w:sz w:val="24"/>
          <w:szCs w:val="24"/>
        </w:rPr>
        <w:t xml:space="preserve"> </w:t>
      </w:r>
      <w:r w:rsidRPr="008D16E1">
        <w:rPr>
          <w:rFonts w:ascii="Times New Roman" w:eastAsia="Times New Roman"/>
          <w:sz w:val="24"/>
          <w:szCs w:val="24"/>
        </w:rPr>
        <w:t>VERI Trajectory Projections Under Alternative Scenarios (2024-2029)</w:t>
      </w:r>
    </w:p>
    <w:p w14:paraId="35B4A5C1" w14:textId="77777777" w:rsidR="004C0841" w:rsidRPr="008D16E1" w:rsidRDefault="004C0841">
      <w:pPr>
        <w:spacing w:line="276" w:lineRule="auto"/>
        <w:contextualSpacing/>
        <w:rPr>
          <w:rFonts w:ascii="Times New Roman" w:eastAsia="Times New Roman"/>
          <w:sz w:val="24"/>
          <w:szCs w:val="24"/>
        </w:rPr>
      </w:pPr>
    </w:p>
    <w:p w14:paraId="50D7F996" w14:textId="4D358CA4"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Cost-effectiveness analysis comparing alternative scenarios reveals important trade-offs between ambition and resource requirements. The integrated package, while generating superior resilience outcomes, demands </w:t>
      </w:r>
      <w:r w:rsidR="00C23D9E">
        <w:rPr>
          <w:rFonts w:ascii="Times New Roman" w:eastAsia="Times New Roman"/>
          <w:sz w:val="24"/>
          <w:szCs w:val="24"/>
        </w:rPr>
        <w:t xml:space="preserve">an </w:t>
      </w:r>
      <w:r w:rsidRPr="008D16E1">
        <w:rPr>
          <w:rFonts w:ascii="Times New Roman" w:eastAsia="Times New Roman"/>
          <w:sz w:val="24"/>
          <w:szCs w:val="24"/>
        </w:rPr>
        <w:t xml:space="preserve">estimated investment of $78,000 per village over five years ($15,600 annually), representing approximately 2.2% of typical </w:t>
      </w:r>
      <w:r w:rsidRPr="008D16E1">
        <w:rPr>
          <w:rFonts w:ascii="Times New Roman" w:eastAsia="Times New Roman"/>
          <w:sz w:val="24"/>
          <w:szCs w:val="24"/>
        </w:rPr>
        <w:lastRenderedPageBreak/>
        <w:t>village annual budgets in the study region. Digital transformation strategy requires $52,000 per village ($10,400 annually, 1.5% of budgets), while economic diversification demands $48,000 ($9,600 annually, 1.4% of budgets). Business-as-usual involves only $25,000 per village ($5,000 annually, 0.7% of budgets) in incremental investments beyond routine expenditures.</w:t>
      </w:r>
    </w:p>
    <w:p w14:paraId="6B1EB8E8" w14:textId="4EBBF22C"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Calculating </w:t>
      </w:r>
      <w:r w:rsidR="00C23D9E">
        <w:rPr>
          <w:rFonts w:ascii="Times New Roman" w:eastAsia="Times New Roman"/>
          <w:sz w:val="24"/>
          <w:szCs w:val="24"/>
        </w:rPr>
        <w:t xml:space="preserve">the cost per VERI point gained illuminates efficiency dimensions: business-as-usual at $3,676 per point, economic diversification at $4,068 per point, digital transformation at $4,561 per point, and the integrated package at </w:t>
      </w:r>
      <w:r w:rsidRPr="008D16E1">
        <w:rPr>
          <w:rFonts w:ascii="Times New Roman" w:eastAsia="Times New Roman"/>
          <w:sz w:val="24"/>
          <w:szCs w:val="24"/>
        </w:rPr>
        <w:t>$4,239 per point. The relatively modest efficiency advantage of focused strategies over integrated approaches reflects the synergistic effects that enhance integrated package effectiveness despite higher absolute costs. From a policy optimization perspective, the analysis suggests that for resource-constrained contexts, targeted digital or diversification strategies offer reasonable cost-effectiveness</w:t>
      </w:r>
      <w:r w:rsidR="00C23D9E">
        <w:rPr>
          <w:rFonts w:ascii="Times New Roman" w:eastAsia="Times New Roman"/>
          <w:sz w:val="24"/>
          <w:szCs w:val="24"/>
        </w:rPr>
        <w:t>. At the same time,</w:t>
      </w:r>
      <w:r w:rsidRPr="008D16E1">
        <w:rPr>
          <w:rFonts w:ascii="Times New Roman" w:eastAsia="Times New Roman"/>
          <w:sz w:val="24"/>
          <w:szCs w:val="24"/>
        </w:rPr>
        <w:t xml:space="preserve"> well-resourced development programs should pursue integrated approaches to maximize absolute resilience gains and leverage synergies.</w:t>
      </w:r>
    </w:p>
    <w:p w14:paraId="2A4FCC23" w14:textId="40D4C887" w:rsidR="007E1A8F" w:rsidRPr="008D16E1" w:rsidRDefault="00562BB2" w:rsidP="00562BB2">
      <w:pPr>
        <w:ind w:firstLine="426"/>
        <w:rPr>
          <w:rFonts w:ascii="Times New Roman"/>
          <w:sz w:val="24"/>
          <w:szCs w:val="24"/>
        </w:rPr>
      </w:pPr>
      <w:r w:rsidRPr="008D16E1">
        <w:rPr>
          <w:rFonts w:ascii="Times New Roman"/>
          <w:sz w:val="24"/>
          <w:szCs w:val="24"/>
        </w:rPr>
        <w:t xml:space="preserve">Several limitations warrant explicit acknowledgment. First, the six-month implementation period, while demonstrating promising early patterns, provides insufficient time to observe long-term resilience outcomes or assess intervention sustainability. Longitudinal follow-up studies are necessary to validate whether observed changes in planning processes translate into sustained improvements in economic resilience over multiple-year horizons. Second, the quasi-experimental comparison design, though strengthened by propensity score matching, cannot eliminate selection effects that </w:t>
      </w:r>
      <w:r w:rsidR="00C23D9E">
        <w:rPr>
          <w:rFonts w:ascii="Times New Roman"/>
          <w:sz w:val="24"/>
          <w:szCs w:val="24"/>
        </w:rPr>
        <w:t>proper</w:t>
      </w:r>
      <w:r w:rsidRPr="008D16E1">
        <w:rPr>
          <w:rFonts w:ascii="Times New Roman"/>
          <w:sz w:val="24"/>
          <w:szCs w:val="24"/>
        </w:rPr>
        <w:t xml:space="preserve"> randomization would address. Villages volunteering for AI-supported planning may possess unmeasured characteristics (leadership quality, community cohesion, change readiness) that independently predict better outcomes. Third, the study's focus on five villages in a specific geographic and institutional context limits generalizability to other regions with different governance structures, connectivity infrastructure, or cultural contexts. The framework's transferability to more remote or conflict-affected areas requires empirical verification. Fourth, while the research demonstrates </w:t>
      </w:r>
      <w:r w:rsidR="00C23D9E">
        <w:rPr>
          <w:rFonts w:ascii="Times New Roman"/>
          <w:sz w:val="24"/>
          <w:szCs w:val="24"/>
        </w:rPr>
        <w:t xml:space="preserve">the feasibility of integration </w:t>
      </w:r>
      <w:r w:rsidRPr="008D16E1">
        <w:rPr>
          <w:rFonts w:ascii="Times New Roman"/>
          <w:sz w:val="24"/>
          <w:szCs w:val="24"/>
        </w:rPr>
        <w:t xml:space="preserve">and stakeholder acceptance, scalability challenges remain unaddressed, particularly regarding technical capacity requirements, computational infrastructure needs, and cost-effectiveness at scale. Finally, the study does not examine potential negative externalities, such as increased data privacy risks, </w:t>
      </w:r>
      <w:r w:rsidR="00C23D9E">
        <w:rPr>
          <w:rFonts w:ascii="Times New Roman"/>
          <w:sz w:val="24"/>
          <w:szCs w:val="24"/>
        </w:rPr>
        <w:t>amplification of algorithmic bias</w:t>
      </w:r>
      <w:r w:rsidRPr="008D16E1">
        <w:rPr>
          <w:rFonts w:ascii="Times New Roman"/>
          <w:sz w:val="24"/>
          <w:szCs w:val="24"/>
        </w:rPr>
        <w:t>, or unintended consequences of optimization-driven resource allocation that may disadvantage unmeasured community priorities.</w:t>
      </w:r>
    </w:p>
    <w:p w14:paraId="14A89717" w14:textId="5E57B21E" w:rsidR="004C0841" w:rsidRPr="008D16E1" w:rsidRDefault="00181BDB" w:rsidP="00562BB2">
      <w:pPr>
        <w:spacing w:line="276" w:lineRule="auto"/>
        <w:ind w:firstLine="426"/>
        <w:contextualSpacing/>
        <w:rPr>
          <w:rFonts w:ascii="Times New Roman" w:eastAsia="Times New Roman"/>
          <w:sz w:val="24"/>
          <w:szCs w:val="24"/>
        </w:rPr>
      </w:pPr>
      <w:r w:rsidRPr="008D16E1">
        <w:rPr>
          <w:rFonts w:ascii="Times New Roman" w:eastAsia="Times New Roman"/>
          <w:sz w:val="24"/>
          <w:szCs w:val="24"/>
        </w:rPr>
        <w:t xml:space="preserve">The scenario analysis generated valuable insights for stakeholder communication and strategic deliberation. Village leadership particularly appreciated the ability to visualize alternative futures and understand </w:t>
      </w:r>
      <w:r w:rsidR="00C23D9E">
        <w:rPr>
          <w:rFonts w:ascii="Times New Roman" w:eastAsia="Times New Roman"/>
          <w:sz w:val="24"/>
          <w:szCs w:val="24"/>
        </w:rPr>
        <w:t xml:space="preserve">the </w:t>
      </w:r>
      <w:r w:rsidRPr="008D16E1">
        <w:rPr>
          <w:rFonts w:ascii="Times New Roman" w:eastAsia="Times New Roman"/>
          <w:sz w:val="24"/>
          <w:szCs w:val="24"/>
        </w:rPr>
        <w:t xml:space="preserve">consequences of different priority choices, transforming abstract policy debates into concrete assessments of projected outcomes. The probabilistic framing of projections, while initially unfamiliar to non-technical stakeholders, proved valuable once facilitators explained interpretation, enabling realistic expectation-setting and honest acknowledgment that development outcomes involve inherent uncertainty not eliminated by sophisticated analysis. Several villages requested periodic recalibration of projections as implementation proceeds, recognizing </w:t>
      </w:r>
      <w:r w:rsidR="00C23D9E">
        <w:rPr>
          <w:rFonts w:ascii="Times New Roman" w:eastAsia="Times New Roman"/>
          <w:sz w:val="24"/>
          <w:szCs w:val="24"/>
        </w:rPr>
        <w:t xml:space="preserve">the </w:t>
      </w:r>
      <w:r w:rsidRPr="008D16E1">
        <w:rPr>
          <w:rFonts w:ascii="Times New Roman" w:eastAsia="Times New Roman"/>
          <w:sz w:val="24"/>
          <w:szCs w:val="24"/>
        </w:rPr>
        <w:t xml:space="preserve">value of </w:t>
      </w:r>
      <w:r w:rsidRPr="008D16E1">
        <w:rPr>
          <w:rFonts w:ascii="Times New Roman" w:eastAsia="Times New Roman"/>
          <w:sz w:val="24"/>
          <w:szCs w:val="24"/>
        </w:rPr>
        <w:lastRenderedPageBreak/>
        <w:t>adaptive management approaches that update strategies based on emerging evidence rather than rigid adherence to initial plans.</w:t>
      </w:r>
    </w:p>
    <w:p w14:paraId="340D4470" w14:textId="77777777" w:rsidR="004C0841" w:rsidRPr="008D16E1" w:rsidRDefault="004C0841">
      <w:pPr>
        <w:spacing w:line="276" w:lineRule="auto"/>
        <w:rPr>
          <w:rFonts w:ascii="Times New Roman" w:eastAsia="Times New Roman"/>
          <w:sz w:val="24"/>
          <w:szCs w:val="24"/>
        </w:rPr>
      </w:pPr>
    </w:p>
    <w:p w14:paraId="159AD4CC" w14:textId="77777777" w:rsidR="008D16E1" w:rsidRDefault="008D16E1">
      <w:pPr>
        <w:spacing w:line="276" w:lineRule="auto"/>
        <w:rPr>
          <w:rFonts w:ascii="Times New Roman"/>
          <w:b/>
          <w:sz w:val="24"/>
          <w:szCs w:val="24"/>
        </w:rPr>
      </w:pPr>
    </w:p>
    <w:p w14:paraId="7C074F54" w14:textId="565853FC" w:rsidR="004C0841" w:rsidRPr="008D16E1" w:rsidRDefault="00181BDB">
      <w:pPr>
        <w:spacing w:line="276" w:lineRule="auto"/>
        <w:rPr>
          <w:rFonts w:ascii="Times New Roman" w:eastAsia="Times New Roman"/>
          <w:b/>
          <w:sz w:val="24"/>
          <w:szCs w:val="24"/>
        </w:rPr>
      </w:pPr>
      <w:r w:rsidRPr="008D16E1">
        <w:rPr>
          <w:rFonts w:ascii="Times New Roman"/>
          <w:b/>
          <w:sz w:val="24"/>
          <w:szCs w:val="24"/>
        </w:rPr>
        <w:t xml:space="preserve">CONCLUSION </w:t>
      </w:r>
    </w:p>
    <w:p w14:paraId="01DF0313" w14:textId="77777777" w:rsidR="009E41CC" w:rsidRPr="008D16E1" w:rsidRDefault="009E41CC" w:rsidP="00562BB2">
      <w:pPr>
        <w:spacing w:line="276" w:lineRule="auto"/>
        <w:ind w:right="-51" w:firstLine="426"/>
        <w:rPr>
          <w:rFonts w:ascii="Times New Roman" w:eastAsia="Times New Roman"/>
          <w:sz w:val="24"/>
          <w:szCs w:val="24"/>
        </w:rPr>
      </w:pPr>
      <w:r w:rsidRPr="008D16E1">
        <w:rPr>
          <w:rFonts w:ascii="Times New Roman" w:eastAsia="Times New Roman"/>
          <w:sz w:val="24"/>
          <w:szCs w:val="24"/>
        </w:rPr>
        <w:t xml:space="preserve">This research demonstrates that artificial intelligence-based predictive models can effectively support village economic resilience assessment and planning in resource-constrained rural contexts. Over a six-month implementation period across five diverse villages in Central Java Province, Indonesia, the study achieved several significant findings: (1) Machine learning models successfully predicted village economic resilience with high accuracy (R²=0.84, with Gradient Boosting achieving R²=0.89), substantially outperforming conventional linear approaches (R²=0.48); (2) Digital infrastructure, income diversification, and financial service access emerged as dominant resilience determinants, together explaining 62% of predictive power; (3) Integration of AI-generated insights with participatory planning processes improved evidence utilization, stakeholder participation breadth, and deliberation quality while realigning development priorities toward empirically-identified leverage factors; (4) Scenario analysis projected substantial resilience gains (18-point VERI improvement over five years) under integrated investment strategies. </w:t>
      </w:r>
    </w:p>
    <w:p w14:paraId="7A766496" w14:textId="7820A642" w:rsidR="00562BB2" w:rsidRPr="008D16E1" w:rsidRDefault="009E41CC" w:rsidP="00562BB2">
      <w:pPr>
        <w:spacing w:line="276" w:lineRule="auto"/>
        <w:ind w:right="-51" w:firstLine="426"/>
        <w:rPr>
          <w:rFonts w:ascii="Times New Roman" w:eastAsia="Times New Roman"/>
          <w:sz w:val="24"/>
          <w:szCs w:val="24"/>
        </w:rPr>
      </w:pPr>
      <w:r w:rsidRPr="008D16E1">
        <w:rPr>
          <w:rFonts w:ascii="Times New Roman" w:eastAsia="Times New Roman"/>
          <w:sz w:val="24"/>
          <w:szCs w:val="24"/>
        </w:rPr>
        <w:t xml:space="preserve">These findings validate the potential for computational approaches to enhance </w:t>
      </w:r>
      <w:r w:rsidR="00C23D9E">
        <w:rPr>
          <w:rFonts w:ascii="Times New Roman" w:eastAsia="Times New Roman"/>
          <w:sz w:val="24"/>
          <w:szCs w:val="24"/>
        </w:rPr>
        <w:t>the effectiveness of development planning while underscoring implementation prerequisites,</w:t>
      </w:r>
      <w:r w:rsidRPr="008D16E1">
        <w:rPr>
          <w:rFonts w:ascii="Times New Roman" w:eastAsia="Times New Roman"/>
          <w:sz w:val="24"/>
          <w:szCs w:val="24"/>
        </w:rPr>
        <w:t xml:space="preserve"> including data infrastructure, technical capacity, political receptivity, and attention to equity concerns. The research contributes by operationalizing multidimensional resilience concepts, demonstrating productive integration of technical analysis with participatory governance, and providing empirical evidence about intervention pathways. For development practice, strategic investments in AI-supported planning tools, when accompanied by appropriate institutional strengthening and democratic safeguards, can improve both efficiency and equity of rural development programming.</w:t>
      </w:r>
    </w:p>
    <w:p w14:paraId="721F310A" w14:textId="77777777" w:rsidR="004C0841" w:rsidRPr="008D16E1" w:rsidRDefault="004C0841">
      <w:pPr>
        <w:spacing w:line="276" w:lineRule="auto"/>
        <w:ind w:right="-51"/>
        <w:rPr>
          <w:rFonts w:ascii="Times New Roman" w:eastAsia="Times New Roman"/>
          <w:sz w:val="24"/>
          <w:szCs w:val="24"/>
        </w:rPr>
      </w:pPr>
    </w:p>
    <w:p w14:paraId="66981083" w14:textId="77777777" w:rsidR="004C0841" w:rsidRPr="008D16E1" w:rsidRDefault="00181BDB">
      <w:pPr>
        <w:spacing w:line="276" w:lineRule="auto"/>
        <w:rPr>
          <w:rFonts w:ascii="Times New Roman" w:eastAsia="Times New Roman"/>
          <w:b/>
          <w:sz w:val="24"/>
          <w:szCs w:val="24"/>
        </w:rPr>
      </w:pPr>
      <w:r w:rsidRPr="008D16E1">
        <w:rPr>
          <w:rFonts w:ascii="Times New Roman"/>
          <w:b/>
          <w:sz w:val="24"/>
          <w:szCs w:val="24"/>
        </w:rPr>
        <w:t>REFERENCES</w:t>
      </w:r>
    </w:p>
    <w:sdt>
      <w:sdtPr>
        <w:rPr>
          <w:rFonts w:ascii="Times New Roman" w:eastAsia="Times New Roman"/>
        </w:rPr>
        <w:tag w:val="MENDELEY_BIBLIOGRAPHY"/>
        <w:id w:val="1289317989"/>
        <w:placeholder>
          <w:docPart w:val="DefaultPlaceholder_-1854013440"/>
        </w:placeholder>
      </w:sdtPr>
      <w:sdtEndPr>
        <w:rPr>
          <w:sz w:val="24"/>
          <w:szCs w:val="24"/>
        </w:rPr>
      </w:sdtEndPr>
      <w:sdtContent>
        <w:p w14:paraId="49298600"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Amjad, M., Graham, S., McCormick, K., &amp; Claborn, K. (2024). AI and Big Data approaches to addressing the opioid crisis: a scoping review protocol. </w:t>
          </w:r>
          <w:r w:rsidRPr="008D16E1">
            <w:rPr>
              <w:rFonts w:ascii="Times New Roman" w:eastAsia="Times New Roman"/>
              <w:i/>
              <w:iCs/>
              <w:sz w:val="24"/>
              <w:szCs w:val="24"/>
            </w:rPr>
            <w:t>BMJ Open</w:t>
          </w:r>
          <w:r w:rsidRPr="008D16E1">
            <w:rPr>
              <w:rFonts w:ascii="Times New Roman" w:eastAsia="Times New Roman"/>
              <w:sz w:val="24"/>
              <w:szCs w:val="24"/>
            </w:rPr>
            <w:t xml:space="preserve">, </w:t>
          </w:r>
          <w:r w:rsidRPr="008D16E1">
            <w:rPr>
              <w:rFonts w:ascii="Times New Roman" w:eastAsia="Times New Roman"/>
              <w:i/>
              <w:iCs/>
              <w:sz w:val="24"/>
              <w:szCs w:val="24"/>
            </w:rPr>
            <w:t>14</w:t>
          </w:r>
          <w:r w:rsidRPr="008D16E1">
            <w:rPr>
              <w:rFonts w:ascii="Times New Roman" w:eastAsia="Times New Roman"/>
              <w:sz w:val="24"/>
              <w:szCs w:val="24"/>
            </w:rPr>
            <w:t>(8), Article e084728-Article e084728. https://doi.org/10.1136/bmjopen-2024-084728</w:t>
          </w:r>
        </w:p>
        <w:p w14:paraId="59068DC2"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Bag, A., &amp; Hadli, S. N. (2023). A Survey on the Capability of Artificial Intelligence (AI) in Crime Prediction and Prevention. </w:t>
          </w:r>
          <w:r w:rsidRPr="008D16E1">
            <w:rPr>
              <w:rFonts w:ascii="Times New Roman" w:eastAsia="Times New Roman"/>
              <w:i/>
              <w:iCs/>
              <w:sz w:val="24"/>
              <w:szCs w:val="24"/>
            </w:rPr>
            <w:t>Smart Innovation, Systems and Technologies</w:t>
          </w:r>
          <w:r w:rsidRPr="008D16E1">
            <w:rPr>
              <w:rFonts w:ascii="Times New Roman" w:eastAsia="Times New Roman"/>
              <w:sz w:val="24"/>
              <w:szCs w:val="24"/>
            </w:rPr>
            <w:t xml:space="preserve">, </w:t>
          </w:r>
          <w:r w:rsidRPr="008D16E1">
            <w:rPr>
              <w:rFonts w:ascii="Times New Roman" w:eastAsia="Times New Roman"/>
              <w:i/>
              <w:iCs/>
              <w:sz w:val="24"/>
              <w:szCs w:val="24"/>
            </w:rPr>
            <w:t>290</w:t>
          </w:r>
          <w:r w:rsidRPr="008D16E1">
            <w:rPr>
              <w:rFonts w:ascii="Times New Roman" w:eastAsia="Times New Roman"/>
              <w:sz w:val="24"/>
              <w:szCs w:val="24"/>
            </w:rPr>
            <w:t>. https://doi.org/10.1007/978-981-19-0108-9_27</w:t>
          </w:r>
        </w:p>
        <w:p w14:paraId="6B792A8F"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Birkstedt, T., Minkkinen, M., Tandon, A., &amp; Mäntymäki, M. (2023). AI governance: themes, knowledge gaps and future agendas. In </w:t>
          </w:r>
          <w:r w:rsidRPr="008D16E1">
            <w:rPr>
              <w:rFonts w:ascii="Times New Roman" w:eastAsia="Times New Roman"/>
              <w:i/>
              <w:iCs/>
              <w:sz w:val="24"/>
              <w:szCs w:val="24"/>
            </w:rPr>
            <w:t>Internet Research</w:t>
          </w:r>
          <w:r w:rsidRPr="008D16E1">
            <w:rPr>
              <w:rFonts w:ascii="Times New Roman" w:eastAsia="Times New Roman"/>
              <w:sz w:val="24"/>
              <w:szCs w:val="24"/>
            </w:rPr>
            <w:t xml:space="preserve"> (Vol. 33, Issue 7). https://doi.org/10.1108/INTR-01-2022-0042</w:t>
          </w:r>
        </w:p>
        <w:p w14:paraId="22629D0C"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David, A., Braby, J., Zeidler, J., Kandjinga, L., &amp; Ndokosho, J. (2013). Building adaptive capacity in rural Namibia: Community information toolkits on climate change. </w:t>
          </w:r>
          <w:r w:rsidRPr="008D16E1">
            <w:rPr>
              <w:rFonts w:ascii="Times New Roman" w:eastAsia="Times New Roman"/>
              <w:i/>
              <w:iCs/>
              <w:sz w:val="24"/>
              <w:szCs w:val="24"/>
            </w:rPr>
            <w:t>International Journal of Climate Change Strategies and Management</w:t>
          </w:r>
          <w:r w:rsidRPr="008D16E1">
            <w:rPr>
              <w:rFonts w:ascii="Times New Roman" w:eastAsia="Times New Roman"/>
              <w:sz w:val="24"/>
              <w:szCs w:val="24"/>
            </w:rPr>
            <w:t xml:space="preserve">, </w:t>
          </w:r>
          <w:r w:rsidRPr="008D16E1">
            <w:rPr>
              <w:rFonts w:ascii="Times New Roman" w:eastAsia="Times New Roman"/>
              <w:i/>
              <w:iCs/>
              <w:sz w:val="24"/>
              <w:szCs w:val="24"/>
            </w:rPr>
            <w:t>5</w:t>
          </w:r>
          <w:r w:rsidRPr="008D16E1">
            <w:rPr>
              <w:rFonts w:ascii="Times New Roman" w:eastAsia="Times New Roman"/>
              <w:sz w:val="24"/>
              <w:szCs w:val="24"/>
            </w:rPr>
            <w:t>(2). https://doi.org/10.1108/17568691311327604</w:t>
          </w:r>
        </w:p>
        <w:p w14:paraId="3C2F9AD2" w14:textId="423D756E" w:rsidR="004C0841" w:rsidRPr="008D16E1" w:rsidRDefault="00C23D9E" w:rsidP="00562BB2">
          <w:pPr>
            <w:ind w:left="426" w:hanging="426"/>
            <w:rPr>
              <w:rFonts w:ascii="Times New Roman" w:eastAsia="Times New Roman"/>
              <w:sz w:val="24"/>
              <w:szCs w:val="24"/>
            </w:rPr>
          </w:pPr>
          <w:r>
            <w:rPr>
              <w:rFonts w:ascii="Times New Roman" w:eastAsia="Times New Roman"/>
              <w:sz w:val="24"/>
              <w:szCs w:val="24"/>
            </w:rPr>
            <w:lastRenderedPageBreak/>
            <w:t>De</w:t>
          </w:r>
          <w:r w:rsidR="00181BDB" w:rsidRPr="008D16E1">
            <w:rPr>
              <w:rFonts w:ascii="Times New Roman" w:eastAsia="Times New Roman"/>
              <w:sz w:val="24"/>
              <w:szCs w:val="24"/>
            </w:rPr>
            <w:t xml:space="preserve"> Siles, E. L. (2021). AI, on the Law of the Elephant: Toward Understanding Artificial Intelligence. </w:t>
          </w:r>
          <w:r w:rsidR="00181BDB" w:rsidRPr="008D16E1">
            <w:rPr>
              <w:rFonts w:ascii="Times New Roman" w:eastAsia="Times New Roman"/>
              <w:i/>
              <w:iCs/>
              <w:sz w:val="24"/>
              <w:szCs w:val="24"/>
            </w:rPr>
            <w:t>Buffalo Law Review</w:t>
          </w:r>
          <w:r w:rsidR="00181BDB" w:rsidRPr="008D16E1">
            <w:rPr>
              <w:rFonts w:ascii="Times New Roman" w:eastAsia="Times New Roman"/>
              <w:sz w:val="24"/>
              <w:szCs w:val="24"/>
            </w:rPr>
            <w:t xml:space="preserve">, </w:t>
          </w:r>
          <w:r w:rsidR="00181BDB" w:rsidRPr="008D16E1">
            <w:rPr>
              <w:rFonts w:ascii="Times New Roman" w:eastAsia="Times New Roman"/>
              <w:i/>
              <w:iCs/>
              <w:sz w:val="24"/>
              <w:szCs w:val="24"/>
            </w:rPr>
            <w:t>69</w:t>
          </w:r>
          <w:r w:rsidR="00181BDB" w:rsidRPr="008D16E1">
            <w:rPr>
              <w:rFonts w:ascii="Times New Roman" w:eastAsia="Times New Roman"/>
              <w:sz w:val="24"/>
              <w:szCs w:val="24"/>
            </w:rPr>
            <w:t>(5).</w:t>
          </w:r>
        </w:p>
        <w:p w14:paraId="09532C61"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Fenz, S., Neubauer, T., Friedel, J. K., &amp; Wohlmuth, M. L. (2023). AI- and data-driven crop rotation planning. </w:t>
          </w:r>
          <w:r w:rsidRPr="008D16E1">
            <w:rPr>
              <w:rFonts w:ascii="Times New Roman" w:eastAsia="Times New Roman"/>
              <w:i/>
              <w:iCs/>
              <w:sz w:val="24"/>
              <w:szCs w:val="24"/>
            </w:rPr>
            <w:t>Computers and Electronics in Agriculture</w:t>
          </w:r>
          <w:r w:rsidRPr="008D16E1">
            <w:rPr>
              <w:rFonts w:ascii="Times New Roman" w:eastAsia="Times New Roman"/>
              <w:sz w:val="24"/>
              <w:szCs w:val="24"/>
            </w:rPr>
            <w:t xml:space="preserve">, </w:t>
          </w:r>
          <w:r w:rsidRPr="008D16E1">
            <w:rPr>
              <w:rFonts w:ascii="Times New Roman" w:eastAsia="Times New Roman"/>
              <w:i/>
              <w:iCs/>
              <w:sz w:val="24"/>
              <w:szCs w:val="24"/>
            </w:rPr>
            <w:t>212</w:t>
          </w:r>
          <w:r w:rsidRPr="008D16E1">
            <w:rPr>
              <w:rFonts w:ascii="Times New Roman" w:eastAsia="Times New Roman"/>
              <w:sz w:val="24"/>
              <w:szCs w:val="24"/>
            </w:rPr>
            <w:t>. https://doi.org/10.1016/j.compag.2023.108160</w:t>
          </w:r>
        </w:p>
        <w:p w14:paraId="56DA40A8"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Hagenauer, J., &amp; Helbich, M. (2022). A geographically weighted artificial neural network. </w:t>
          </w:r>
          <w:r w:rsidRPr="008D16E1">
            <w:rPr>
              <w:rFonts w:ascii="Times New Roman" w:eastAsia="Times New Roman"/>
              <w:i/>
              <w:iCs/>
              <w:sz w:val="24"/>
              <w:szCs w:val="24"/>
            </w:rPr>
            <w:t>International Journal of Geographical Information Science</w:t>
          </w:r>
          <w:r w:rsidRPr="008D16E1">
            <w:rPr>
              <w:rFonts w:ascii="Times New Roman" w:eastAsia="Times New Roman"/>
              <w:sz w:val="24"/>
              <w:szCs w:val="24"/>
            </w:rPr>
            <w:t xml:space="preserve">, </w:t>
          </w:r>
          <w:r w:rsidRPr="008D16E1">
            <w:rPr>
              <w:rFonts w:ascii="Times New Roman" w:eastAsia="Times New Roman"/>
              <w:i/>
              <w:iCs/>
              <w:sz w:val="24"/>
              <w:szCs w:val="24"/>
            </w:rPr>
            <w:t>36</w:t>
          </w:r>
          <w:r w:rsidRPr="008D16E1">
            <w:rPr>
              <w:rFonts w:ascii="Times New Roman" w:eastAsia="Times New Roman"/>
              <w:sz w:val="24"/>
              <w:szCs w:val="24"/>
            </w:rPr>
            <w:t>(2). https://doi.org/10.1080/13658816.2021.1871618</w:t>
          </w:r>
        </w:p>
        <w:p w14:paraId="0DEF4872"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Herzog, L. (2025). Villages, protocols, and the AI-driven future of work: some Wittgensteinian reflections. </w:t>
          </w:r>
          <w:r w:rsidRPr="008D16E1">
            <w:rPr>
              <w:rFonts w:ascii="Times New Roman" w:eastAsia="Times New Roman"/>
              <w:i/>
              <w:iCs/>
              <w:sz w:val="24"/>
              <w:szCs w:val="24"/>
            </w:rPr>
            <w:t>Critical Review of International Social and Political Philosophy</w:t>
          </w:r>
          <w:r w:rsidRPr="008D16E1">
            <w:rPr>
              <w:rFonts w:ascii="Times New Roman" w:eastAsia="Times New Roman"/>
              <w:sz w:val="24"/>
              <w:szCs w:val="24"/>
            </w:rPr>
            <w:t>, Article undefined-Article undefined. https://doi.org/10.1080/13698230.2025.2546231</w:t>
          </w:r>
        </w:p>
        <w:p w14:paraId="2FBB07F8"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Keshavarz, M., &amp; Moqadas, R. S. (2021). Assessing rural households’ resilience and adaptation strategies to climate variability and change. </w:t>
          </w:r>
          <w:r w:rsidRPr="008D16E1">
            <w:rPr>
              <w:rFonts w:ascii="Times New Roman" w:eastAsia="Times New Roman"/>
              <w:i/>
              <w:iCs/>
              <w:sz w:val="24"/>
              <w:szCs w:val="24"/>
            </w:rPr>
            <w:t>Journal of Arid Environments</w:t>
          </w:r>
          <w:r w:rsidRPr="008D16E1">
            <w:rPr>
              <w:rFonts w:ascii="Times New Roman" w:eastAsia="Times New Roman"/>
              <w:sz w:val="24"/>
              <w:szCs w:val="24"/>
            </w:rPr>
            <w:t xml:space="preserve">, </w:t>
          </w:r>
          <w:r w:rsidRPr="008D16E1">
            <w:rPr>
              <w:rFonts w:ascii="Times New Roman" w:eastAsia="Times New Roman"/>
              <w:i/>
              <w:iCs/>
              <w:sz w:val="24"/>
              <w:szCs w:val="24"/>
            </w:rPr>
            <w:t>184</w:t>
          </w:r>
          <w:r w:rsidRPr="008D16E1">
            <w:rPr>
              <w:rFonts w:ascii="Times New Roman" w:eastAsia="Times New Roman"/>
              <w:sz w:val="24"/>
              <w:szCs w:val="24"/>
            </w:rPr>
            <w:t>. https://doi.org/10.1016/j.jaridenv.2020.104323</w:t>
          </w:r>
        </w:p>
        <w:p w14:paraId="352D84AB"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Kumar, M. R., Kandukuri, P., Srinivas, V. S., Mukkapati, N., &amp; Kumar, D. N. V. S. (2025). AI-SCAN: Advancing plant leaf disease detection with Transcendental Residual Convolutional Swin Transformer with hybrid optimizer. </w:t>
          </w:r>
          <w:r w:rsidRPr="008D16E1">
            <w:rPr>
              <w:rFonts w:ascii="Times New Roman" w:eastAsia="Times New Roman"/>
              <w:i/>
              <w:iCs/>
              <w:sz w:val="24"/>
              <w:szCs w:val="24"/>
            </w:rPr>
            <w:t>Cabi Agriculture and Bioscience</w:t>
          </w:r>
          <w:r w:rsidRPr="008D16E1">
            <w:rPr>
              <w:rFonts w:ascii="Times New Roman" w:eastAsia="Times New Roman"/>
              <w:sz w:val="24"/>
              <w:szCs w:val="24"/>
            </w:rPr>
            <w:t xml:space="preserve">, </w:t>
          </w:r>
          <w:r w:rsidRPr="008D16E1">
            <w:rPr>
              <w:rFonts w:ascii="Times New Roman" w:eastAsia="Times New Roman"/>
              <w:i/>
              <w:iCs/>
              <w:sz w:val="24"/>
              <w:szCs w:val="24"/>
            </w:rPr>
            <w:t>6</w:t>
          </w:r>
          <w:r w:rsidRPr="008D16E1">
            <w:rPr>
              <w:rFonts w:ascii="Times New Roman" w:eastAsia="Times New Roman"/>
              <w:sz w:val="24"/>
              <w:szCs w:val="24"/>
            </w:rPr>
            <w:t>(1), Article 0022-Article 0022. https://doi.org/10.1079/ab.2025.0022</w:t>
          </w:r>
        </w:p>
        <w:p w14:paraId="2E476A37"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Landicho, L. D., &amp; Ramirez, M. A. J. P. (2023). Strengthening adaptive capacity of rural farming communities in Southeast Asia: Experiences, best practices and lessons for scaling-up. </w:t>
          </w:r>
          <w:r w:rsidRPr="008D16E1">
            <w:rPr>
              <w:rFonts w:ascii="Times New Roman" w:eastAsia="Times New Roman"/>
              <w:i/>
              <w:iCs/>
              <w:sz w:val="24"/>
              <w:szCs w:val="24"/>
            </w:rPr>
            <w:t>APN Science Bulletin</w:t>
          </w:r>
          <w:r w:rsidRPr="008D16E1">
            <w:rPr>
              <w:rFonts w:ascii="Times New Roman" w:eastAsia="Times New Roman"/>
              <w:sz w:val="24"/>
              <w:szCs w:val="24"/>
            </w:rPr>
            <w:t xml:space="preserve">, </w:t>
          </w:r>
          <w:r w:rsidRPr="008D16E1">
            <w:rPr>
              <w:rFonts w:ascii="Times New Roman" w:eastAsia="Times New Roman"/>
              <w:i/>
              <w:iCs/>
              <w:sz w:val="24"/>
              <w:szCs w:val="24"/>
            </w:rPr>
            <w:t>2023</w:t>
          </w:r>
          <w:r w:rsidRPr="008D16E1">
            <w:rPr>
              <w:rFonts w:ascii="Times New Roman" w:eastAsia="Times New Roman"/>
              <w:sz w:val="24"/>
              <w:szCs w:val="24"/>
            </w:rPr>
            <w:t>(13). https://doi.org/10.30852/sb.2023.2104</w:t>
          </w:r>
        </w:p>
        <w:p w14:paraId="04C28E82"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Lestari, A. A. D. (2025). Digital Assets in the Perspective of Indonesian Inheritance Law: The Need for Norm Reformulation in the Cyber Era. </w:t>
          </w:r>
          <w:r w:rsidRPr="008D16E1">
            <w:rPr>
              <w:rFonts w:ascii="Times New Roman" w:eastAsia="Times New Roman"/>
              <w:i/>
              <w:iCs/>
              <w:sz w:val="24"/>
              <w:szCs w:val="24"/>
            </w:rPr>
            <w:t>Indonesian Cyber Law Review</w:t>
          </w:r>
          <w:r w:rsidRPr="008D16E1">
            <w:rPr>
              <w:rFonts w:ascii="Times New Roman" w:eastAsia="Times New Roman"/>
              <w:sz w:val="24"/>
              <w:szCs w:val="24"/>
            </w:rPr>
            <w:t xml:space="preserve">, </w:t>
          </w:r>
          <w:r w:rsidRPr="008D16E1">
            <w:rPr>
              <w:rFonts w:ascii="Times New Roman" w:eastAsia="Times New Roman"/>
              <w:i/>
              <w:iCs/>
              <w:sz w:val="24"/>
              <w:szCs w:val="24"/>
            </w:rPr>
            <w:t>2</w:t>
          </w:r>
          <w:r w:rsidRPr="008D16E1">
            <w:rPr>
              <w:rFonts w:ascii="Times New Roman" w:eastAsia="Times New Roman"/>
              <w:sz w:val="24"/>
              <w:szCs w:val="24"/>
            </w:rPr>
            <w:t>(1), 10–18.</w:t>
          </w:r>
        </w:p>
        <w:p w14:paraId="36E1D27D"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Liu, H., Li, R., Zhang, Y., Zhang, K., Yusufu, M., Liu, Y., Mou, D., Chen, X., Tian, J., Li, H., Fan, S., Tang, J., &amp; Wang, N. (2023). Economic evaluation of combined population-based screening for multiple blindness-causing eye diseases in China: a cost-effectiveness analysis. </w:t>
          </w:r>
          <w:r w:rsidRPr="008D16E1">
            <w:rPr>
              <w:rFonts w:ascii="Times New Roman" w:eastAsia="Times New Roman"/>
              <w:i/>
              <w:iCs/>
              <w:sz w:val="24"/>
              <w:szCs w:val="24"/>
            </w:rPr>
            <w:t>The Lancet Global Health</w:t>
          </w:r>
          <w:r w:rsidRPr="008D16E1">
            <w:rPr>
              <w:rFonts w:ascii="Times New Roman" w:eastAsia="Times New Roman"/>
              <w:sz w:val="24"/>
              <w:szCs w:val="24"/>
            </w:rPr>
            <w:t xml:space="preserve">, </w:t>
          </w:r>
          <w:r w:rsidRPr="008D16E1">
            <w:rPr>
              <w:rFonts w:ascii="Times New Roman" w:eastAsia="Times New Roman"/>
              <w:i/>
              <w:iCs/>
              <w:sz w:val="24"/>
              <w:szCs w:val="24"/>
            </w:rPr>
            <w:t>11</w:t>
          </w:r>
          <w:r w:rsidRPr="008D16E1">
            <w:rPr>
              <w:rFonts w:ascii="Times New Roman" w:eastAsia="Times New Roman"/>
              <w:sz w:val="24"/>
              <w:szCs w:val="24"/>
            </w:rPr>
            <w:t>(3). https://doi.org/10.1016/S2214-109X(22)00554-X</w:t>
          </w:r>
        </w:p>
        <w:p w14:paraId="1054E745"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Luck, G. W., Smallbone, L. T., &amp; O’Brien, R. (2009). Socio-economics and vegetation change in urban ecosystems: Patterns in space and time. </w:t>
          </w:r>
          <w:r w:rsidRPr="008D16E1">
            <w:rPr>
              <w:rFonts w:ascii="Times New Roman" w:eastAsia="Times New Roman"/>
              <w:i/>
              <w:iCs/>
              <w:sz w:val="24"/>
              <w:szCs w:val="24"/>
            </w:rPr>
            <w:t>Ecosystems</w:t>
          </w:r>
          <w:r w:rsidRPr="008D16E1">
            <w:rPr>
              <w:rFonts w:ascii="Times New Roman" w:eastAsia="Times New Roman"/>
              <w:sz w:val="24"/>
              <w:szCs w:val="24"/>
            </w:rPr>
            <w:t xml:space="preserve">, </w:t>
          </w:r>
          <w:r w:rsidRPr="008D16E1">
            <w:rPr>
              <w:rFonts w:ascii="Times New Roman" w:eastAsia="Times New Roman"/>
              <w:i/>
              <w:iCs/>
              <w:sz w:val="24"/>
              <w:szCs w:val="24"/>
            </w:rPr>
            <w:t>12</w:t>
          </w:r>
          <w:r w:rsidRPr="008D16E1">
            <w:rPr>
              <w:rFonts w:ascii="Times New Roman" w:eastAsia="Times New Roman"/>
              <w:sz w:val="24"/>
              <w:szCs w:val="24"/>
            </w:rPr>
            <w:t>(4). https://doi.org/10.1007/s10021-009-9244-6</w:t>
          </w:r>
        </w:p>
        <w:p w14:paraId="2438FE16"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Lundgren, A. S., &amp; Nilsson, B. (2023). “For the good of the village”: Volunteer initiatives and rural resilience. </w:t>
          </w:r>
          <w:r w:rsidRPr="008D16E1">
            <w:rPr>
              <w:rFonts w:ascii="Times New Roman" w:eastAsia="Times New Roman"/>
              <w:i/>
              <w:iCs/>
              <w:sz w:val="24"/>
              <w:szCs w:val="24"/>
            </w:rPr>
            <w:t>Journal of Rural Studies</w:t>
          </w:r>
          <w:r w:rsidRPr="008D16E1">
            <w:rPr>
              <w:rFonts w:ascii="Times New Roman" w:eastAsia="Times New Roman"/>
              <w:sz w:val="24"/>
              <w:szCs w:val="24"/>
            </w:rPr>
            <w:t xml:space="preserve">, </w:t>
          </w:r>
          <w:r w:rsidRPr="008D16E1">
            <w:rPr>
              <w:rFonts w:ascii="Times New Roman" w:eastAsia="Times New Roman"/>
              <w:i/>
              <w:iCs/>
              <w:sz w:val="24"/>
              <w:szCs w:val="24"/>
            </w:rPr>
            <w:t>102</w:t>
          </w:r>
          <w:r w:rsidRPr="008D16E1">
            <w:rPr>
              <w:rFonts w:ascii="Times New Roman" w:eastAsia="Times New Roman"/>
              <w:sz w:val="24"/>
              <w:szCs w:val="24"/>
            </w:rPr>
            <w:t>. https://doi.org/10.1016/j.jrurstud.2023.103104</w:t>
          </w:r>
        </w:p>
        <w:p w14:paraId="3978586D"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Madzivhandila, T. S., &amp; Niyimbanira, F. (2020). Rural economies and livelihood activities in developing countries: Exploring prospects of the emerging climate change crisis. </w:t>
          </w:r>
          <w:r w:rsidRPr="008D16E1">
            <w:rPr>
              <w:rFonts w:ascii="Times New Roman" w:eastAsia="Times New Roman"/>
              <w:i/>
              <w:iCs/>
              <w:sz w:val="24"/>
              <w:szCs w:val="24"/>
            </w:rPr>
            <w:t>International Journal of Economics and Finance Studies</w:t>
          </w:r>
          <w:r w:rsidRPr="008D16E1">
            <w:rPr>
              <w:rFonts w:ascii="Times New Roman" w:eastAsia="Times New Roman"/>
              <w:sz w:val="24"/>
              <w:szCs w:val="24"/>
            </w:rPr>
            <w:t xml:space="preserve">, </w:t>
          </w:r>
          <w:r w:rsidRPr="008D16E1">
            <w:rPr>
              <w:rFonts w:ascii="Times New Roman" w:eastAsia="Times New Roman"/>
              <w:i/>
              <w:iCs/>
              <w:sz w:val="24"/>
              <w:szCs w:val="24"/>
            </w:rPr>
            <w:t>12</w:t>
          </w:r>
          <w:r w:rsidRPr="008D16E1">
            <w:rPr>
              <w:rFonts w:ascii="Times New Roman" w:eastAsia="Times New Roman"/>
              <w:sz w:val="24"/>
              <w:szCs w:val="24"/>
            </w:rPr>
            <w:t>(1). https://doi.org/10.34109/ijefs.202012115</w:t>
          </w:r>
        </w:p>
        <w:p w14:paraId="58E51D8C"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Olasoji, T. (2024). Revitalizing Rural Tourism: Local Economic Revival Through Community-Based Tourism Models. </w:t>
          </w:r>
          <w:r w:rsidRPr="008D16E1">
            <w:rPr>
              <w:rFonts w:ascii="Times New Roman" w:eastAsia="Times New Roman"/>
              <w:i/>
              <w:iCs/>
              <w:sz w:val="24"/>
              <w:szCs w:val="24"/>
            </w:rPr>
            <w:t>Journal of Halal Tourism</w:t>
          </w:r>
          <w:r w:rsidRPr="008D16E1">
            <w:rPr>
              <w:rFonts w:ascii="Times New Roman" w:eastAsia="Times New Roman"/>
              <w:sz w:val="24"/>
              <w:szCs w:val="24"/>
            </w:rPr>
            <w:t xml:space="preserve">, </w:t>
          </w:r>
          <w:r w:rsidRPr="008D16E1">
            <w:rPr>
              <w:rFonts w:ascii="Times New Roman" w:eastAsia="Times New Roman"/>
              <w:i/>
              <w:iCs/>
              <w:sz w:val="24"/>
              <w:szCs w:val="24"/>
            </w:rPr>
            <w:t>1</w:t>
          </w:r>
          <w:r w:rsidRPr="008D16E1">
            <w:rPr>
              <w:rFonts w:ascii="Times New Roman" w:eastAsia="Times New Roman"/>
              <w:sz w:val="24"/>
              <w:szCs w:val="24"/>
            </w:rPr>
            <w:t>(1), 25–32.</w:t>
          </w:r>
        </w:p>
        <w:p w14:paraId="68AB566E"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P, K., Lalitha, H., Priya, D. J., &amp; C, B. S. (2025). AI-driven plant health monitoring: evaluating the WRLSB-HPS algorithm for leaf disease classification. </w:t>
          </w:r>
          <w:r w:rsidRPr="008D16E1">
            <w:rPr>
              <w:rFonts w:ascii="Times New Roman" w:eastAsia="Times New Roman"/>
              <w:i/>
              <w:iCs/>
              <w:sz w:val="24"/>
              <w:szCs w:val="24"/>
            </w:rPr>
            <w:t>Earth Science Informatics</w:t>
          </w:r>
          <w:r w:rsidRPr="008D16E1">
            <w:rPr>
              <w:rFonts w:ascii="Times New Roman" w:eastAsia="Times New Roman"/>
              <w:sz w:val="24"/>
              <w:szCs w:val="24"/>
            </w:rPr>
            <w:t xml:space="preserve">, </w:t>
          </w:r>
          <w:r w:rsidRPr="008D16E1">
            <w:rPr>
              <w:rFonts w:ascii="Times New Roman" w:eastAsia="Times New Roman"/>
              <w:i/>
              <w:iCs/>
              <w:sz w:val="24"/>
              <w:szCs w:val="24"/>
            </w:rPr>
            <w:t>18</w:t>
          </w:r>
          <w:r w:rsidRPr="008D16E1">
            <w:rPr>
              <w:rFonts w:ascii="Times New Roman" w:eastAsia="Times New Roman"/>
              <w:sz w:val="24"/>
              <w:szCs w:val="24"/>
            </w:rPr>
            <w:t>(3), Article 288-Article 288. https://doi.org/10.1007/s12145-025-01762-8</w:t>
          </w:r>
        </w:p>
        <w:p w14:paraId="101F9A3F"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lastRenderedPageBreak/>
            <w:t xml:space="preserve">Panigrahi, R. K., &amp; Kumar, R. (2025). Enhancing Smart Village Security with Blockchain and AI-Driven Intrusion Detection. </w:t>
          </w:r>
          <w:r w:rsidRPr="008D16E1">
            <w:rPr>
              <w:rFonts w:ascii="Times New Roman" w:eastAsia="Times New Roman"/>
              <w:i/>
              <w:iCs/>
              <w:sz w:val="24"/>
              <w:szCs w:val="24"/>
            </w:rPr>
            <w:t>Lecture Notes in Networks and Systems</w:t>
          </w:r>
          <w:r w:rsidRPr="008D16E1">
            <w:rPr>
              <w:rFonts w:ascii="Times New Roman" w:eastAsia="Times New Roman"/>
              <w:sz w:val="24"/>
              <w:szCs w:val="24"/>
            </w:rPr>
            <w:t xml:space="preserve">, </w:t>
          </w:r>
          <w:r w:rsidRPr="008D16E1">
            <w:rPr>
              <w:rFonts w:ascii="Times New Roman" w:eastAsia="Times New Roman"/>
              <w:i/>
              <w:iCs/>
              <w:sz w:val="24"/>
              <w:szCs w:val="24"/>
            </w:rPr>
            <w:t>1306</w:t>
          </w:r>
          <w:r w:rsidRPr="008D16E1">
            <w:rPr>
              <w:rFonts w:ascii="Times New Roman" w:eastAsia="Times New Roman"/>
              <w:sz w:val="24"/>
              <w:szCs w:val="24"/>
            </w:rPr>
            <w:t>, 461–471. https://doi.org/10.1007/978-981-96-3728-7_37</w:t>
          </w:r>
        </w:p>
        <w:p w14:paraId="276D2606"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Pourghasem, F., Colella, T. J. F., Gopaul, U., Anderson, M., Ashraf, A., &amp; Khan, S. S. (2025). The use of digital avatars to improve virtual rehabilitation health outcomes amongst adults with health conditions: a scoping review. </w:t>
          </w:r>
          <w:r w:rsidRPr="008D16E1">
            <w:rPr>
              <w:rFonts w:ascii="Times New Roman" w:eastAsia="Times New Roman"/>
              <w:i/>
              <w:iCs/>
              <w:sz w:val="24"/>
              <w:szCs w:val="24"/>
            </w:rPr>
            <w:t>Disability and Rehabilitation</w:t>
          </w:r>
          <w:r w:rsidRPr="008D16E1">
            <w:rPr>
              <w:rFonts w:ascii="Times New Roman" w:eastAsia="Times New Roman"/>
              <w:sz w:val="24"/>
              <w:szCs w:val="24"/>
            </w:rPr>
            <w:t>, Article undefined-Article undefined. https://doi.org/10.1080/09638288.2025.2577878</w:t>
          </w:r>
        </w:p>
        <w:p w14:paraId="2158846E"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Rodríguez-Hernández, C. F., Musso, M., Kyndt, E., &amp; Cascallar, E. (2021). Artificial neural networks in academic performance prediction: Systematic implementation and predictor evaluation. </w:t>
          </w:r>
          <w:r w:rsidRPr="008D16E1">
            <w:rPr>
              <w:rFonts w:ascii="Times New Roman" w:eastAsia="Times New Roman"/>
              <w:i/>
              <w:iCs/>
              <w:sz w:val="24"/>
              <w:szCs w:val="24"/>
            </w:rPr>
            <w:t>Computers and Education: Artificial Intelligence</w:t>
          </w:r>
          <w:r w:rsidRPr="008D16E1">
            <w:rPr>
              <w:rFonts w:ascii="Times New Roman" w:eastAsia="Times New Roman"/>
              <w:sz w:val="24"/>
              <w:szCs w:val="24"/>
            </w:rPr>
            <w:t xml:space="preserve">, </w:t>
          </w:r>
          <w:r w:rsidRPr="008D16E1">
            <w:rPr>
              <w:rFonts w:ascii="Times New Roman" w:eastAsia="Times New Roman"/>
              <w:i/>
              <w:iCs/>
              <w:sz w:val="24"/>
              <w:szCs w:val="24"/>
            </w:rPr>
            <w:t>2</w:t>
          </w:r>
          <w:r w:rsidRPr="008D16E1">
            <w:rPr>
              <w:rFonts w:ascii="Times New Roman" w:eastAsia="Times New Roman"/>
              <w:sz w:val="24"/>
              <w:szCs w:val="24"/>
            </w:rPr>
            <w:t>. https://doi.org/10.1016/j.caeai.2021.100018</w:t>
          </w:r>
        </w:p>
        <w:p w14:paraId="5BDD380A"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Shinners, L., Aggar, C., Stephens, A., &amp; Grace, S. (2023). Healthcare professionals’ experiences and perceptions of artificial intelligence in regional and rural health districts in Australia. </w:t>
          </w:r>
          <w:r w:rsidRPr="008D16E1">
            <w:rPr>
              <w:rFonts w:ascii="Times New Roman" w:eastAsia="Times New Roman"/>
              <w:i/>
              <w:iCs/>
              <w:sz w:val="24"/>
              <w:szCs w:val="24"/>
            </w:rPr>
            <w:t>Australian Journal of Rural Health</w:t>
          </w:r>
          <w:r w:rsidRPr="008D16E1">
            <w:rPr>
              <w:rFonts w:ascii="Times New Roman" w:eastAsia="Times New Roman"/>
              <w:sz w:val="24"/>
              <w:szCs w:val="24"/>
            </w:rPr>
            <w:t xml:space="preserve">, </w:t>
          </w:r>
          <w:r w:rsidRPr="008D16E1">
            <w:rPr>
              <w:rFonts w:ascii="Times New Roman" w:eastAsia="Times New Roman"/>
              <w:i/>
              <w:iCs/>
              <w:sz w:val="24"/>
              <w:szCs w:val="24"/>
            </w:rPr>
            <w:t>31</w:t>
          </w:r>
          <w:r w:rsidRPr="008D16E1">
            <w:rPr>
              <w:rFonts w:ascii="Times New Roman" w:eastAsia="Times New Roman"/>
              <w:sz w:val="24"/>
              <w:szCs w:val="24"/>
            </w:rPr>
            <w:t>(6). https://doi.org/10.1111/ajr.13045</w:t>
          </w:r>
        </w:p>
        <w:p w14:paraId="50BBCDCB"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Shore, J. H., Goss, C. W., Dailey, N. K., &amp; Bair, B. D. (2019). Methodology for Evaluating Models of Telemental Health Delivery Against Population and Healthcare System Needs: Application to Telemental Healthcare for Rural Native Veterans. </w:t>
          </w:r>
          <w:r w:rsidRPr="008D16E1">
            <w:rPr>
              <w:rFonts w:ascii="Times New Roman" w:eastAsia="Times New Roman"/>
              <w:i/>
              <w:iCs/>
              <w:sz w:val="24"/>
              <w:szCs w:val="24"/>
            </w:rPr>
            <w:t>Telemedicine and E-Health</w:t>
          </w:r>
          <w:r w:rsidRPr="008D16E1">
            <w:rPr>
              <w:rFonts w:ascii="Times New Roman" w:eastAsia="Times New Roman"/>
              <w:sz w:val="24"/>
              <w:szCs w:val="24"/>
            </w:rPr>
            <w:t xml:space="preserve">, </w:t>
          </w:r>
          <w:r w:rsidRPr="008D16E1">
            <w:rPr>
              <w:rFonts w:ascii="Times New Roman" w:eastAsia="Times New Roman"/>
              <w:i/>
              <w:iCs/>
              <w:sz w:val="24"/>
              <w:szCs w:val="24"/>
            </w:rPr>
            <w:t>25</w:t>
          </w:r>
          <w:r w:rsidRPr="008D16E1">
            <w:rPr>
              <w:rFonts w:ascii="Times New Roman" w:eastAsia="Times New Roman"/>
              <w:sz w:val="24"/>
              <w:szCs w:val="24"/>
            </w:rPr>
            <w:t>(7). https://doi.org/10.1089/tmj.2018.0084</w:t>
          </w:r>
        </w:p>
        <w:p w14:paraId="4FD2CFBE" w14:textId="066D9A21"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Solikhah, M., &amp; Komarudin, K. (2025). Integrating Generative AI </w:t>
          </w:r>
          <w:r w:rsidR="00C23D9E">
            <w:rPr>
              <w:rFonts w:ascii="Times New Roman" w:eastAsia="Times New Roman"/>
              <w:sz w:val="24"/>
              <w:szCs w:val="24"/>
            </w:rPr>
            <w:t>into the</w:t>
          </w:r>
          <w:r w:rsidRPr="008D16E1">
            <w:rPr>
              <w:rFonts w:ascii="Times New Roman" w:eastAsia="Times New Roman"/>
              <w:sz w:val="24"/>
              <w:szCs w:val="24"/>
            </w:rPr>
            <w:t xml:space="preserve"> National Education System: Framework Work For Implementation Ethics in Developing Countries. </w:t>
          </w:r>
          <w:r w:rsidRPr="008D16E1">
            <w:rPr>
              <w:rFonts w:ascii="Times New Roman" w:eastAsia="Times New Roman"/>
              <w:i/>
              <w:iCs/>
              <w:sz w:val="24"/>
              <w:szCs w:val="24"/>
            </w:rPr>
            <w:t>Journal of Artificial Intelligence Research</w:t>
          </w:r>
          <w:r w:rsidRPr="008D16E1">
            <w:rPr>
              <w:rFonts w:ascii="Times New Roman" w:eastAsia="Times New Roman"/>
              <w:sz w:val="24"/>
              <w:szCs w:val="24"/>
            </w:rPr>
            <w:t xml:space="preserve">, </w:t>
          </w:r>
          <w:r w:rsidRPr="008D16E1">
            <w:rPr>
              <w:rFonts w:ascii="Times New Roman" w:eastAsia="Times New Roman"/>
              <w:i/>
              <w:iCs/>
              <w:sz w:val="24"/>
              <w:szCs w:val="24"/>
            </w:rPr>
            <w:t>1</w:t>
          </w:r>
          <w:r w:rsidRPr="008D16E1">
            <w:rPr>
              <w:rFonts w:ascii="Times New Roman" w:eastAsia="Times New Roman"/>
              <w:sz w:val="24"/>
              <w:szCs w:val="24"/>
            </w:rPr>
            <w:t>(2), 63–69.</w:t>
          </w:r>
        </w:p>
        <w:p w14:paraId="6578948C" w14:textId="4607FE5A"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Sultana, S., Mozumder, M. H., &amp; Ahmed, S. I. (2021). Chasing luck: Data-driven prediction, faith, hunch, and cultural norms in rural </w:t>
          </w:r>
          <w:r w:rsidR="00C23D9E">
            <w:rPr>
              <w:rFonts w:ascii="Times New Roman" w:eastAsia="Times New Roman"/>
              <w:sz w:val="24"/>
              <w:szCs w:val="24"/>
            </w:rPr>
            <w:t>betting</w:t>
          </w:r>
          <w:r w:rsidRPr="008D16E1">
            <w:rPr>
              <w:rFonts w:ascii="Times New Roman" w:eastAsia="Times New Roman"/>
              <w:sz w:val="24"/>
              <w:szCs w:val="24"/>
            </w:rPr>
            <w:t xml:space="preserve"> practices. </w:t>
          </w:r>
          <w:r w:rsidRPr="008D16E1">
            <w:rPr>
              <w:rFonts w:ascii="Times New Roman" w:eastAsia="Times New Roman"/>
              <w:i/>
              <w:iCs/>
              <w:sz w:val="24"/>
              <w:szCs w:val="24"/>
            </w:rPr>
            <w:t>Conference on Human Factors in Computing Systems - Proceedings</w:t>
          </w:r>
          <w:r w:rsidRPr="008D16E1">
            <w:rPr>
              <w:rFonts w:ascii="Times New Roman" w:eastAsia="Times New Roman"/>
              <w:sz w:val="24"/>
              <w:szCs w:val="24"/>
            </w:rPr>
            <w:t>. https://doi.org/10.1145/3411764.3445047</w:t>
          </w:r>
        </w:p>
        <w:p w14:paraId="5DE7A79C"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Tan, X., Ismail, N. A. B., &amp; Hussein, M. K. B. (2025). Evaluation of AI, communication, and social behavior in ancient Chinese villages: A systematic review of tourism’s role in resident adaptation. </w:t>
          </w:r>
          <w:r w:rsidRPr="008D16E1">
            <w:rPr>
              <w:rFonts w:ascii="Times New Roman" w:eastAsia="Times New Roman"/>
              <w:i/>
              <w:iCs/>
              <w:sz w:val="24"/>
              <w:szCs w:val="24"/>
            </w:rPr>
            <w:t>Environment and Social Psychology</w:t>
          </w:r>
          <w:r w:rsidRPr="008D16E1">
            <w:rPr>
              <w:rFonts w:ascii="Times New Roman" w:eastAsia="Times New Roman"/>
              <w:sz w:val="24"/>
              <w:szCs w:val="24"/>
            </w:rPr>
            <w:t xml:space="preserve">, </w:t>
          </w:r>
          <w:r w:rsidRPr="008D16E1">
            <w:rPr>
              <w:rFonts w:ascii="Times New Roman" w:eastAsia="Times New Roman"/>
              <w:i/>
              <w:iCs/>
              <w:sz w:val="24"/>
              <w:szCs w:val="24"/>
            </w:rPr>
            <w:t>10</w:t>
          </w:r>
          <w:r w:rsidRPr="008D16E1">
            <w:rPr>
              <w:rFonts w:ascii="Times New Roman" w:eastAsia="Times New Roman"/>
              <w:sz w:val="24"/>
              <w:szCs w:val="24"/>
            </w:rPr>
            <w:t>(9), Article 3573-Article 3573. https://doi.org/10.59429/esp.v10i9.3573</w:t>
          </w:r>
        </w:p>
        <w:p w14:paraId="1B15E2F7"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Tian, T., Li, L., &amp; Wang, J. (2022). The Effect and Mechanism of Agricultural Informatization on Economic Development: Based on a Spatial Heterogeneity Perspective. </w:t>
          </w:r>
          <w:r w:rsidRPr="008D16E1">
            <w:rPr>
              <w:rFonts w:ascii="Times New Roman" w:eastAsia="Times New Roman"/>
              <w:i/>
              <w:iCs/>
              <w:sz w:val="24"/>
              <w:szCs w:val="24"/>
            </w:rPr>
            <w:t>Sustainability (Switzerland)</w:t>
          </w:r>
          <w:r w:rsidRPr="008D16E1">
            <w:rPr>
              <w:rFonts w:ascii="Times New Roman" w:eastAsia="Times New Roman"/>
              <w:sz w:val="24"/>
              <w:szCs w:val="24"/>
            </w:rPr>
            <w:t xml:space="preserve">, </w:t>
          </w:r>
          <w:r w:rsidRPr="008D16E1">
            <w:rPr>
              <w:rFonts w:ascii="Times New Roman" w:eastAsia="Times New Roman"/>
              <w:i/>
              <w:iCs/>
              <w:sz w:val="24"/>
              <w:szCs w:val="24"/>
            </w:rPr>
            <w:t>14</w:t>
          </w:r>
          <w:r w:rsidRPr="008D16E1">
            <w:rPr>
              <w:rFonts w:ascii="Times New Roman" w:eastAsia="Times New Roman"/>
              <w:sz w:val="24"/>
              <w:szCs w:val="24"/>
            </w:rPr>
            <w:t>(6). https://doi.org/10.3390/su14063165</w:t>
          </w:r>
        </w:p>
        <w:p w14:paraId="31B0E8A9"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Wu, B., Wang, L., &amp; Yao, L. (2023). A Mechanistic Study of the Impact of Digital Payments on Rural Household Development Resilience. </w:t>
          </w:r>
          <w:r w:rsidRPr="008D16E1">
            <w:rPr>
              <w:rFonts w:ascii="Times New Roman" w:eastAsia="Times New Roman"/>
              <w:i/>
              <w:iCs/>
              <w:sz w:val="24"/>
              <w:szCs w:val="24"/>
            </w:rPr>
            <w:t>Sustainability (Switzerland)</w:t>
          </w:r>
          <w:r w:rsidRPr="008D16E1">
            <w:rPr>
              <w:rFonts w:ascii="Times New Roman" w:eastAsia="Times New Roman"/>
              <w:sz w:val="24"/>
              <w:szCs w:val="24"/>
            </w:rPr>
            <w:t xml:space="preserve">, </w:t>
          </w:r>
          <w:r w:rsidRPr="008D16E1">
            <w:rPr>
              <w:rFonts w:ascii="Times New Roman" w:eastAsia="Times New Roman"/>
              <w:i/>
              <w:iCs/>
              <w:sz w:val="24"/>
              <w:szCs w:val="24"/>
            </w:rPr>
            <w:t>15</w:t>
          </w:r>
          <w:r w:rsidRPr="008D16E1">
            <w:rPr>
              <w:rFonts w:ascii="Times New Roman" w:eastAsia="Times New Roman"/>
              <w:sz w:val="24"/>
              <w:szCs w:val="24"/>
            </w:rPr>
            <w:t>(14). https://doi.org/10.3390/su151411203</w:t>
          </w:r>
        </w:p>
        <w:p w14:paraId="6ADA6772"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Xu, J., Zheng, L., Ma, R., &amp; Tian, H. (2023). Correlation between Distribution of Rural Settlements and Topography in Plateau-Mountain Area: A Study of Yunnan Province, China. </w:t>
          </w:r>
          <w:r w:rsidRPr="008D16E1">
            <w:rPr>
              <w:rFonts w:ascii="Times New Roman" w:eastAsia="Times New Roman"/>
              <w:i/>
              <w:iCs/>
              <w:sz w:val="24"/>
              <w:szCs w:val="24"/>
            </w:rPr>
            <w:t>Sustainability (Switzerland)</w:t>
          </w:r>
          <w:r w:rsidRPr="008D16E1">
            <w:rPr>
              <w:rFonts w:ascii="Times New Roman" w:eastAsia="Times New Roman"/>
              <w:sz w:val="24"/>
              <w:szCs w:val="24"/>
            </w:rPr>
            <w:t xml:space="preserve">, </w:t>
          </w:r>
          <w:r w:rsidRPr="008D16E1">
            <w:rPr>
              <w:rFonts w:ascii="Times New Roman" w:eastAsia="Times New Roman"/>
              <w:i/>
              <w:iCs/>
              <w:sz w:val="24"/>
              <w:szCs w:val="24"/>
            </w:rPr>
            <w:t>15</w:t>
          </w:r>
          <w:r w:rsidRPr="008D16E1">
            <w:rPr>
              <w:rFonts w:ascii="Times New Roman" w:eastAsia="Times New Roman"/>
              <w:sz w:val="24"/>
              <w:szCs w:val="24"/>
            </w:rPr>
            <w:t>(4). https://doi.org/10.3390/su15043458</w:t>
          </w:r>
        </w:p>
        <w:p w14:paraId="57BF6843"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Yang, M., Jiao, M., &amp; Zhang, J. (2022). Spatio-Temporal Analysis and Influencing Factors of Rural Resilience from the Perspective of Sustainable Rural Development. </w:t>
          </w:r>
          <w:r w:rsidRPr="008D16E1">
            <w:rPr>
              <w:rFonts w:ascii="Times New Roman" w:eastAsia="Times New Roman"/>
              <w:i/>
              <w:iCs/>
              <w:sz w:val="24"/>
              <w:szCs w:val="24"/>
            </w:rPr>
            <w:t>International Journal of Environmental Research and Public Health</w:t>
          </w:r>
          <w:r w:rsidRPr="008D16E1">
            <w:rPr>
              <w:rFonts w:ascii="Times New Roman" w:eastAsia="Times New Roman"/>
              <w:sz w:val="24"/>
              <w:szCs w:val="24"/>
            </w:rPr>
            <w:t xml:space="preserve">, </w:t>
          </w:r>
          <w:r w:rsidRPr="008D16E1">
            <w:rPr>
              <w:rFonts w:ascii="Times New Roman" w:eastAsia="Times New Roman"/>
              <w:i/>
              <w:iCs/>
              <w:sz w:val="24"/>
              <w:szCs w:val="24"/>
            </w:rPr>
            <w:t>19</w:t>
          </w:r>
          <w:r w:rsidRPr="008D16E1">
            <w:rPr>
              <w:rFonts w:ascii="Times New Roman" w:eastAsia="Times New Roman"/>
              <w:sz w:val="24"/>
              <w:szCs w:val="24"/>
            </w:rPr>
            <w:t>(19). https://doi.org/10.3390/ijerph191912294</w:t>
          </w:r>
        </w:p>
        <w:p w14:paraId="650FC919" w14:textId="77777777"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t xml:space="preserve">Ye, X., Wang, S., Lu, Z., Song, Y., &amp; Yu, S. (2021). Towards an AI-driven framework for multi-scale urban flood resilience planning and design. In </w:t>
          </w:r>
          <w:r w:rsidRPr="008D16E1">
            <w:rPr>
              <w:rFonts w:ascii="Times New Roman" w:eastAsia="Times New Roman"/>
              <w:i/>
              <w:iCs/>
              <w:sz w:val="24"/>
              <w:szCs w:val="24"/>
            </w:rPr>
            <w:t>Computational Urban Science</w:t>
          </w:r>
          <w:r w:rsidRPr="008D16E1">
            <w:rPr>
              <w:rFonts w:ascii="Times New Roman" w:eastAsia="Times New Roman"/>
              <w:sz w:val="24"/>
              <w:szCs w:val="24"/>
            </w:rPr>
            <w:t xml:space="preserve"> (Vol. 1, Issue 1). https://doi.org/10.1007/s43762-021-00011-0</w:t>
          </w:r>
        </w:p>
        <w:p w14:paraId="29A2C077" w14:textId="403FD64C" w:rsidR="004C0841" w:rsidRPr="008D16E1" w:rsidRDefault="00181BDB" w:rsidP="00562BB2">
          <w:pPr>
            <w:ind w:left="426" w:hanging="426"/>
            <w:rPr>
              <w:rFonts w:ascii="Times New Roman" w:eastAsia="Times New Roman"/>
              <w:sz w:val="24"/>
              <w:szCs w:val="24"/>
            </w:rPr>
          </w:pPr>
          <w:r w:rsidRPr="008D16E1">
            <w:rPr>
              <w:rFonts w:ascii="Times New Roman" w:eastAsia="Times New Roman"/>
              <w:sz w:val="24"/>
              <w:szCs w:val="24"/>
            </w:rPr>
            <w:lastRenderedPageBreak/>
            <w:t xml:space="preserve">Zinchuk, T. O., Tarasovych, L. V., Yaremova, M. I., Usiuk, T. V., &amp; Kovalchuk, O. D. (2021). Participation and bridging: Involving </w:t>
          </w:r>
          <w:r w:rsidR="00C23D9E">
            <w:rPr>
              <w:rFonts w:ascii="Times New Roman" w:eastAsia="Times New Roman"/>
              <w:sz w:val="24"/>
              <w:szCs w:val="24"/>
            </w:rPr>
            <w:t>entrepreneurs</w:t>
          </w:r>
          <w:r w:rsidRPr="008D16E1">
            <w:rPr>
              <w:rFonts w:ascii="Times New Roman" w:eastAsia="Times New Roman"/>
              <w:sz w:val="24"/>
              <w:szCs w:val="24"/>
            </w:rPr>
            <w:t xml:space="preserve"> in the management of the EU rural economy. </w:t>
          </w:r>
          <w:r w:rsidRPr="008D16E1">
            <w:rPr>
              <w:rFonts w:ascii="Times New Roman" w:eastAsia="Times New Roman"/>
              <w:i/>
              <w:iCs/>
              <w:sz w:val="24"/>
              <w:szCs w:val="24"/>
            </w:rPr>
            <w:t xml:space="preserve">Estudios de </w:t>
          </w:r>
          <w:r w:rsidR="00C23D9E">
            <w:rPr>
              <w:rFonts w:ascii="Times New Roman" w:eastAsia="Times New Roman"/>
              <w:i/>
              <w:iCs/>
              <w:sz w:val="24"/>
              <w:szCs w:val="24"/>
            </w:rPr>
            <w:t>Economía</w:t>
          </w:r>
          <w:r w:rsidRPr="008D16E1">
            <w:rPr>
              <w:rFonts w:ascii="Times New Roman" w:eastAsia="Times New Roman"/>
              <w:i/>
              <w:iCs/>
              <w:sz w:val="24"/>
              <w:szCs w:val="24"/>
            </w:rPr>
            <w:t xml:space="preserve"> Aplicada</w:t>
          </w:r>
          <w:r w:rsidRPr="008D16E1">
            <w:rPr>
              <w:rFonts w:ascii="Times New Roman" w:eastAsia="Times New Roman"/>
              <w:sz w:val="24"/>
              <w:szCs w:val="24"/>
            </w:rPr>
            <w:t xml:space="preserve">, </w:t>
          </w:r>
          <w:r w:rsidRPr="008D16E1">
            <w:rPr>
              <w:rFonts w:ascii="Times New Roman" w:eastAsia="Times New Roman"/>
              <w:i/>
              <w:iCs/>
              <w:sz w:val="24"/>
              <w:szCs w:val="24"/>
            </w:rPr>
            <w:t>39</w:t>
          </w:r>
          <w:r w:rsidRPr="008D16E1">
            <w:rPr>
              <w:rFonts w:ascii="Times New Roman" w:eastAsia="Times New Roman"/>
              <w:sz w:val="24"/>
              <w:szCs w:val="24"/>
            </w:rPr>
            <w:t>(5). https://doi.org/10.25115/eea.v39i5.4900</w:t>
          </w:r>
        </w:p>
        <w:p w14:paraId="20F0819D" w14:textId="77777777" w:rsidR="004C0841" w:rsidRPr="008D16E1" w:rsidRDefault="00181BDB">
          <w:pPr>
            <w:contextualSpacing/>
            <w:rPr>
              <w:rFonts w:ascii="Times New Roman" w:eastAsia="Times New Roman"/>
              <w:sz w:val="24"/>
              <w:szCs w:val="24"/>
            </w:rPr>
          </w:pPr>
          <w:r w:rsidRPr="008D16E1">
            <w:rPr>
              <w:rFonts w:ascii="Times New Roman" w:eastAsia="Times New Roman"/>
              <w:sz w:val="24"/>
              <w:szCs w:val="24"/>
            </w:rPr>
            <w:t> </w:t>
          </w:r>
        </w:p>
      </w:sdtContent>
    </w:sdt>
    <w:p w14:paraId="6A9B7028" w14:textId="77777777" w:rsidR="004C0841" w:rsidRDefault="004C0841">
      <w:pPr>
        <w:rPr>
          <w:rFonts w:ascii="Times New Roman" w:eastAsia="Times New Roman"/>
          <w:sz w:val="24"/>
          <w:szCs w:val="24"/>
        </w:rPr>
      </w:pPr>
    </w:p>
    <w:sectPr w:rsidR="004C0841" w:rsidSect="004F7013">
      <w:headerReference w:type="default" r:id="rId18"/>
      <w:footerReference w:type="even" r:id="rId19"/>
      <w:footerReference w:type="default" r:id="rId20"/>
      <w:pgSz w:w="11909" w:h="16834"/>
      <w:pgMar w:top="1701" w:right="1559" w:bottom="1701" w:left="1797" w:header="720" w:footer="720" w:gutter="0"/>
      <w:pgNumType w:start="4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3091D" w14:textId="77777777" w:rsidR="00B1718A" w:rsidRDefault="00B1718A">
      <w:r>
        <w:separator/>
      </w:r>
    </w:p>
  </w:endnote>
  <w:endnote w:type="continuationSeparator" w:id="0">
    <w:p w14:paraId="29F61A8D" w14:textId="77777777" w:rsidR="00B1718A" w:rsidRDefault="00B17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624D" w14:textId="6C025A51" w:rsidR="004C0841" w:rsidRDefault="00181BDB">
    <w:pPr>
      <w:tabs>
        <w:tab w:val="center" w:pos="4680"/>
        <w:tab w:val="right" w:pos="9360"/>
      </w:tabs>
      <w:ind w:left="-426" w:firstLine="426"/>
      <w:jc w:val="right"/>
      <w:rPr>
        <w:rFonts w:ascii="Times New Roman" w:eastAsia="Times New Roman"/>
      </w:rPr>
    </w:pPr>
    <w:r>
      <w:rPr>
        <w:rFonts w:ascii="Calibri" w:eastAsia="Calibri" w:hAnsi="Calibri" w:cs="Calibri"/>
      </w:rPr>
      <w:t xml:space="preserve">JEDVB </w:t>
    </w:r>
    <w:proofErr w:type="spellStart"/>
    <w:r>
      <w:rPr>
        <w:rFonts w:ascii="Calibri" w:eastAsia="Calibri" w:hAnsi="Calibri" w:cs="Calibri"/>
      </w:rPr>
      <w:t>Vol</w:t>
    </w:r>
    <w:proofErr w:type="spellEnd"/>
    <w:r w:rsidR="004F7013">
      <w:rPr>
        <w:rFonts w:ascii="Calibri" w:eastAsia="Calibri" w:hAnsi="Calibri" w:cs="Calibri"/>
        <w:lang w:val="en-US"/>
      </w:rPr>
      <w:t xml:space="preserve"> 3</w:t>
    </w:r>
    <w:r>
      <w:rPr>
        <w:rFonts w:ascii="Calibri" w:eastAsia="Calibri" w:hAnsi="Calibri" w:cs="Calibri"/>
      </w:rPr>
      <w:t xml:space="preserve"> </w:t>
    </w:r>
    <w:proofErr w:type="spellStart"/>
    <w:r>
      <w:rPr>
        <w:rFonts w:ascii="Calibri" w:eastAsia="Calibri" w:hAnsi="Calibri" w:cs="Calibri"/>
      </w:rPr>
      <w:t>No</w:t>
    </w:r>
    <w:proofErr w:type="spellEnd"/>
    <w:r w:rsidR="004F7013">
      <w:rPr>
        <w:rFonts w:ascii="Calibri" w:eastAsia="Calibri" w:hAnsi="Calibri" w:cs="Calibri"/>
        <w:lang w:val="en-US"/>
      </w:rPr>
      <w:t>1</w:t>
    </w:r>
    <w:r>
      <w:rPr>
        <w:rFonts w:ascii="Calibri" w:eastAsia="Calibri" w:hAnsi="Calibri" w:cs="Calibri"/>
      </w:rPr>
      <w:t xml:space="preserve">, </w:t>
    </w:r>
    <w:r w:rsidR="004F7013">
      <w:rPr>
        <w:rFonts w:ascii="Calibri" w:eastAsia="Calibri" w:hAnsi="Calibri" w:cs="Calibri"/>
        <w:lang w:val="en-US"/>
      </w:rPr>
      <w:t>46</w:t>
    </w:r>
    <w:r>
      <w:rPr>
        <w:rFonts w:ascii="Calibri" w:eastAsia="Calibri" w:hAnsi="Calibri" w:cs="Calibri"/>
      </w:rPr>
      <w:t>—</w:t>
    </w:r>
    <w:r w:rsidR="004F7013">
      <w:rPr>
        <w:rFonts w:ascii="Calibri" w:eastAsia="Calibri" w:hAnsi="Calibri" w:cs="Calibri"/>
        <w:lang w:val="en-US"/>
      </w:rPr>
      <w:t>69</w:t>
    </w:r>
    <w:r>
      <w:rPr>
        <w:rFonts w:ascii="Calibri" w:eastAsia="Calibri" w:hAnsi="Calibri" w:cs="Calibri"/>
      </w:rPr>
      <w:t xml:space="preserve">                                                                                       </w:t>
    </w:r>
    <w:r>
      <w:rPr>
        <w:rFonts w:ascii="Calibri" w:eastAsia="Calibri" w:hAnsi="Calibri" w:cs="Calibri"/>
        <w:b/>
      </w:rPr>
      <w:t xml:space="preserve">                                </w:t>
    </w:r>
    <w:r>
      <w:rPr>
        <w:rFonts w:ascii="Times New Roman" w:eastAsia="Times New Roman"/>
      </w:rPr>
      <w:t xml:space="preserve">| </w:t>
    </w:r>
    <w:r>
      <w:rPr>
        <w:rFonts w:ascii="Times New Roman" w:eastAsia="Times New Roman"/>
        <w:b/>
      </w:rPr>
      <w:fldChar w:fldCharType="begin"/>
    </w:r>
    <w:r>
      <w:rPr>
        <w:rFonts w:ascii="Times New Roman" w:eastAsia="Times New Roman"/>
        <w:b/>
      </w:rPr>
      <w:instrText>PAGE</w:instrText>
    </w:r>
    <w:r>
      <w:rPr>
        <w:rFonts w:ascii="Times New Roman" w:eastAsia="Times New Roman"/>
        <w:b/>
      </w:rPr>
      <w:fldChar w:fldCharType="separate"/>
    </w:r>
    <w:r>
      <w:rPr>
        <w:rFonts w:ascii="Times New Roman" w:eastAsia="Times New Roman"/>
        <w:b/>
      </w:rPr>
      <w:t>4</w:t>
    </w:r>
    <w:r>
      <w:rPr>
        <w:rFonts w:ascii="Times New Roman" w:eastAsia="Times New Roman"/>
        <w:b/>
      </w:rPr>
      <w:fldChar w:fldCharType="end"/>
    </w:r>
    <w:r>
      <w:rPr>
        <w:rFonts w:ascii="Times New Roman" w:eastAsia="Times New Roman"/>
        <w:b/>
      </w:rPr>
      <w:t xml:space="preserve"> </w:t>
    </w:r>
  </w:p>
  <w:p w14:paraId="635F2F7D" w14:textId="77777777" w:rsidR="004C0841" w:rsidRDefault="004C0841">
    <w:pPr>
      <w:tabs>
        <w:tab w:val="center" w:pos="4680"/>
        <w:tab w:val="right" w:pos="9360"/>
      </w:tabs>
      <w:rPr>
        <w:rFonts w:ascii="Times New Roman" w:eastAsia="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1DDE" w14:textId="5C291D34" w:rsidR="004F7013" w:rsidRDefault="004F7013" w:rsidP="004F7013">
    <w:pPr>
      <w:pBdr>
        <w:top w:val="nil"/>
        <w:left w:val="nil"/>
        <w:bottom w:val="nil"/>
        <w:right w:val="nil"/>
        <w:between w:val="nil"/>
      </w:pBdr>
      <w:tabs>
        <w:tab w:val="center" w:pos="4680"/>
        <w:tab w:val="right" w:pos="9360"/>
      </w:tabs>
      <w:ind w:left="-426" w:firstLine="426"/>
      <w:jc w:val="right"/>
      <w:rPr>
        <w:rFonts w:ascii="Times New Roman" w:eastAsia="Times New Roman"/>
      </w:rPr>
    </w:pPr>
    <w:r>
      <w:rPr>
        <w:rFonts w:ascii="Calibri" w:eastAsia="Calibri" w:hAnsi="Calibri" w:cs="Calibri"/>
      </w:rPr>
      <w:t xml:space="preserve">JEDVB </w:t>
    </w:r>
    <w:proofErr w:type="spellStart"/>
    <w:r>
      <w:rPr>
        <w:rFonts w:ascii="Calibri" w:eastAsia="Calibri" w:hAnsi="Calibri" w:cs="Calibri"/>
      </w:rPr>
      <w:t>Vol</w:t>
    </w:r>
    <w:proofErr w:type="spellEnd"/>
    <w:r>
      <w:rPr>
        <w:rFonts w:ascii="Calibri" w:eastAsia="Calibri" w:hAnsi="Calibri" w:cs="Calibri"/>
      </w:rPr>
      <w:t xml:space="preserve"> </w:t>
    </w:r>
    <w:r>
      <w:rPr>
        <w:rFonts w:ascii="Calibri" w:eastAsia="Calibri" w:hAnsi="Calibri" w:cs="Calibri"/>
        <w:lang w:val="en-US"/>
      </w:rPr>
      <w:t>3</w:t>
    </w:r>
    <w:r>
      <w:rPr>
        <w:rFonts w:ascii="Calibri" w:eastAsia="Calibri" w:hAnsi="Calibri" w:cs="Calibri"/>
      </w:rPr>
      <w:t xml:space="preserve"> N</w:t>
    </w:r>
    <w:r>
      <w:rPr>
        <w:rFonts w:ascii="Calibri" w:eastAsia="Calibri" w:hAnsi="Calibri" w:cs="Calibri"/>
        <w:lang w:val="en-US"/>
      </w:rPr>
      <w:t>o 1</w:t>
    </w:r>
    <w:r>
      <w:rPr>
        <w:rFonts w:ascii="Calibri" w:eastAsia="Calibri" w:hAnsi="Calibri" w:cs="Calibri"/>
      </w:rPr>
      <w:t xml:space="preserve">, </w:t>
    </w:r>
    <w:r>
      <w:rPr>
        <w:rFonts w:ascii="Calibri" w:eastAsia="Calibri" w:hAnsi="Calibri" w:cs="Calibri"/>
        <w:lang w:val="en-US"/>
      </w:rPr>
      <w:t>46</w:t>
    </w:r>
    <w:r>
      <w:rPr>
        <w:rFonts w:ascii="Calibri" w:eastAsia="Calibri" w:hAnsi="Calibri" w:cs="Calibri"/>
      </w:rPr>
      <w:t>—</w:t>
    </w:r>
    <w:r>
      <w:rPr>
        <w:rFonts w:ascii="Calibri" w:eastAsia="Calibri" w:hAnsi="Calibri" w:cs="Calibri"/>
        <w:lang w:val="en-US"/>
      </w:rPr>
      <w:t>69</w:t>
    </w:r>
    <w:r>
      <w:rPr>
        <w:rFonts w:ascii="Calibri" w:eastAsia="Calibri" w:hAnsi="Calibri" w:cs="Calibri"/>
      </w:rPr>
      <w:t xml:space="preserve">                                                                                         </w:t>
    </w:r>
    <w:r>
      <w:rPr>
        <w:rFonts w:ascii="Calibri" w:eastAsia="Calibri" w:hAnsi="Calibri" w:cs="Calibri"/>
        <w:b/>
      </w:rPr>
      <w:t xml:space="preserve">                              </w:t>
    </w:r>
    <w:r>
      <w:rPr>
        <w:rFonts w:ascii="Times New Roman" w:eastAsia="Times New Roman"/>
      </w:rPr>
      <w:t xml:space="preserve">| </w:t>
    </w:r>
    <w:r>
      <w:rPr>
        <w:rFonts w:ascii="Times New Roman" w:eastAsia="Times New Roman"/>
        <w:b/>
      </w:rPr>
      <w:fldChar w:fldCharType="begin"/>
    </w:r>
    <w:r>
      <w:rPr>
        <w:rFonts w:ascii="Times New Roman" w:eastAsia="Times New Roman"/>
        <w:b/>
      </w:rPr>
      <w:instrText>PAGE</w:instrText>
    </w:r>
    <w:r>
      <w:rPr>
        <w:rFonts w:ascii="Times New Roman" w:eastAsia="Times New Roman"/>
        <w:b/>
      </w:rPr>
      <w:fldChar w:fldCharType="separate"/>
    </w:r>
    <w:r>
      <w:rPr>
        <w:rFonts w:ascii="Times New Roman" w:eastAsia="Times New Roman"/>
        <w:b/>
      </w:rPr>
      <w:t>24</w:t>
    </w:r>
    <w:r>
      <w:rPr>
        <w:rFonts w:ascii="Times New Roman" w:eastAsia="Times New Roman"/>
        <w:b/>
      </w:rPr>
      <w:fldChar w:fldCharType="end"/>
    </w:r>
    <w:r>
      <w:rPr>
        <w:rFonts w:ascii="Times New Roman" w:eastAsia="Times New Roman"/>
        <w:b/>
      </w:rPr>
      <w:t xml:space="preserve"> </w:t>
    </w:r>
  </w:p>
  <w:p w14:paraId="271DCD6C" w14:textId="77777777" w:rsidR="004C0841" w:rsidRDefault="004C0841">
    <w:pPr>
      <w:tabs>
        <w:tab w:val="center" w:pos="4680"/>
        <w:tab w:val="right" w:pos="9360"/>
      </w:tabs>
      <w:rPr>
        <w:rFonts w:ascii="Times New Roman" w:eastAsia="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DFEEC" w14:textId="77777777" w:rsidR="00B1718A" w:rsidRDefault="00B1718A">
      <w:r>
        <w:separator/>
      </w:r>
    </w:p>
  </w:footnote>
  <w:footnote w:type="continuationSeparator" w:id="0">
    <w:p w14:paraId="1A64E4A0" w14:textId="77777777" w:rsidR="00B1718A" w:rsidRDefault="00B17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F6052" w14:textId="77777777" w:rsidR="004C0841" w:rsidRDefault="004C0841">
    <w:pPr>
      <w:ind w:right="2"/>
      <w:jc w:val="center"/>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A"/>
    <w:rsid w:val="00005C81"/>
    <w:rsid w:val="00016F7E"/>
    <w:rsid w:val="00031447"/>
    <w:rsid w:val="00034FC8"/>
    <w:rsid w:val="00055E4F"/>
    <w:rsid w:val="000D77E8"/>
    <w:rsid w:val="00116D23"/>
    <w:rsid w:val="00134438"/>
    <w:rsid w:val="001460B9"/>
    <w:rsid w:val="00152803"/>
    <w:rsid w:val="00153602"/>
    <w:rsid w:val="00174E4E"/>
    <w:rsid w:val="00181BDB"/>
    <w:rsid w:val="00195006"/>
    <w:rsid w:val="001C7FEE"/>
    <w:rsid w:val="00217A3E"/>
    <w:rsid w:val="002254C4"/>
    <w:rsid w:val="00236668"/>
    <w:rsid w:val="002C14D5"/>
    <w:rsid w:val="002C5169"/>
    <w:rsid w:val="0030495B"/>
    <w:rsid w:val="003321D1"/>
    <w:rsid w:val="00352C78"/>
    <w:rsid w:val="003613D0"/>
    <w:rsid w:val="003810D3"/>
    <w:rsid w:val="003870C0"/>
    <w:rsid w:val="00390523"/>
    <w:rsid w:val="003A33D7"/>
    <w:rsid w:val="003B55B3"/>
    <w:rsid w:val="003C43EF"/>
    <w:rsid w:val="003E74F3"/>
    <w:rsid w:val="00401249"/>
    <w:rsid w:val="0041394E"/>
    <w:rsid w:val="00414E0C"/>
    <w:rsid w:val="00424E14"/>
    <w:rsid w:val="00470DCB"/>
    <w:rsid w:val="004728E3"/>
    <w:rsid w:val="00496C9E"/>
    <w:rsid w:val="004A21F8"/>
    <w:rsid w:val="004B0C3C"/>
    <w:rsid w:val="004C0841"/>
    <w:rsid w:val="004C43F6"/>
    <w:rsid w:val="004C7562"/>
    <w:rsid w:val="004F3199"/>
    <w:rsid w:val="004F7013"/>
    <w:rsid w:val="00502726"/>
    <w:rsid w:val="00541300"/>
    <w:rsid w:val="00562BB2"/>
    <w:rsid w:val="00594678"/>
    <w:rsid w:val="005C2A5A"/>
    <w:rsid w:val="005E0927"/>
    <w:rsid w:val="005E7A39"/>
    <w:rsid w:val="006064B5"/>
    <w:rsid w:val="00633D47"/>
    <w:rsid w:val="006344F7"/>
    <w:rsid w:val="00641341"/>
    <w:rsid w:val="00641CD4"/>
    <w:rsid w:val="00690496"/>
    <w:rsid w:val="00693595"/>
    <w:rsid w:val="006A6266"/>
    <w:rsid w:val="006B659C"/>
    <w:rsid w:val="006E2C7B"/>
    <w:rsid w:val="006E4CF3"/>
    <w:rsid w:val="00732B19"/>
    <w:rsid w:val="00777132"/>
    <w:rsid w:val="007C1A05"/>
    <w:rsid w:val="007C2EA2"/>
    <w:rsid w:val="007D41BA"/>
    <w:rsid w:val="007E1A8F"/>
    <w:rsid w:val="007E5C52"/>
    <w:rsid w:val="00833877"/>
    <w:rsid w:val="00845C36"/>
    <w:rsid w:val="008803DE"/>
    <w:rsid w:val="00881A68"/>
    <w:rsid w:val="00887659"/>
    <w:rsid w:val="008D16E1"/>
    <w:rsid w:val="008E70A7"/>
    <w:rsid w:val="00912B59"/>
    <w:rsid w:val="009175ED"/>
    <w:rsid w:val="00932AA7"/>
    <w:rsid w:val="00937781"/>
    <w:rsid w:val="009E41CC"/>
    <w:rsid w:val="00A00FBC"/>
    <w:rsid w:val="00A13E4C"/>
    <w:rsid w:val="00A45B62"/>
    <w:rsid w:val="00A621DD"/>
    <w:rsid w:val="00A668A9"/>
    <w:rsid w:val="00A843DE"/>
    <w:rsid w:val="00A863DB"/>
    <w:rsid w:val="00A94B16"/>
    <w:rsid w:val="00A97A4E"/>
    <w:rsid w:val="00AF70C5"/>
    <w:rsid w:val="00B1174A"/>
    <w:rsid w:val="00B1718A"/>
    <w:rsid w:val="00B21D3C"/>
    <w:rsid w:val="00B31FEC"/>
    <w:rsid w:val="00B61406"/>
    <w:rsid w:val="00B67A44"/>
    <w:rsid w:val="00B833C4"/>
    <w:rsid w:val="00BA1FEF"/>
    <w:rsid w:val="00BD5835"/>
    <w:rsid w:val="00C074B5"/>
    <w:rsid w:val="00C235AC"/>
    <w:rsid w:val="00C23D9E"/>
    <w:rsid w:val="00C305FA"/>
    <w:rsid w:val="00C671E3"/>
    <w:rsid w:val="00C6769C"/>
    <w:rsid w:val="00C70E71"/>
    <w:rsid w:val="00C736FC"/>
    <w:rsid w:val="00C8326C"/>
    <w:rsid w:val="00C85B32"/>
    <w:rsid w:val="00CA71AF"/>
    <w:rsid w:val="00CE4F0A"/>
    <w:rsid w:val="00CF3ABD"/>
    <w:rsid w:val="00D2152B"/>
    <w:rsid w:val="00D21575"/>
    <w:rsid w:val="00D35D1E"/>
    <w:rsid w:val="00D96D47"/>
    <w:rsid w:val="00DC201B"/>
    <w:rsid w:val="00DE2AAA"/>
    <w:rsid w:val="00DE4CEB"/>
    <w:rsid w:val="00E23210"/>
    <w:rsid w:val="00EA16A6"/>
    <w:rsid w:val="00EA1E5D"/>
    <w:rsid w:val="00EB2F23"/>
    <w:rsid w:val="00EE16EA"/>
    <w:rsid w:val="00F044BF"/>
    <w:rsid w:val="00F20967"/>
    <w:rsid w:val="00F65D14"/>
    <w:rsid w:val="00F74E6E"/>
    <w:rsid w:val="00FD530B"/>
    <w:rsid w:val="00FD5DB9"/>
    <w:rsid w:val="00FD6E2A"/>
    <w:rsid w:val="3FAC31A5"/>
  </w:rsids>
  <m:mathPr>
    <m:mathFont m:val="Cambria Math"/>
    <m:brkBin m:val="before"/>
    <m:brkBinSub m:val="--"/>
    <m:smallFrac m:val="0"/>
    <m:dispDef/>
    <m:lMargin m:val="0"/>
    <m:rMargin m:val="0"/>
    <m:defJc m:val="centerGroup"/>
    <m:wrapIndent m:val="1440"/>
    <m:intLim m:val="subSup"/>
    <m:naryLim m:val="undOvr"/>
  </m:mathPr>
  <w:themeFontLang w:val="zh-CN"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21D8D9"/>
  <w15:docId w15:val="{A6F9388D-794A-4E45-9D4F-1CE7F1C2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jc w:val="both"/>
    </w:pPr>
    <w:rPr>
      <w:rFonts w:ascii="TimesNewRomanPSMT" w:eastAsia="TimesNewRomanPSMT"/>
      <w:color w:val="000000"/>
      <w:sz w:val="22"/>
      <w:szCs w:val="22"/>
      <w:lang w:val="id-ID" w:eastAsia="zh-CN" w:bidi="bn-IN"/>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link w:val="Judul2KAR"/>
    <w:uiPriority w:val="9"/>
    <w:semiHidden/>
    <w:unhideWhenUsed/>
    <w:qFormat/>
    <w:pPr>
      <w:keepNext/>
      <w:spacing w:before="240" w:after="60"/>
      <w:outlineLvl w:val="1"/>
    </w:pPr>
    <w:rPr>
      <w:rFonts w:ascii="Arial" w:eastAsia="Times New Roman" w:hAnsi="Arial" w:cs="Arial"/>
      <w:b/>
      <w:bCs/>
      <w:i/>
      <w:iCs/>
      <w:sz w:val="28"/>
      <w:szCs w:val="28"/>
    </w:rPr>
  </w:style>
  <w:style w:type="paragraph" w:styleId="Judul3">
    <w:name w:val="heading 3"/>
    <w:basedOn w:val="Normal"/>
    <w:next w:val="Normal"/>
    <w:link w:val="Judul3KAR"/>
    <w:uiPriority w:val="9"/>
    <w:semiHidden/>
    <w:unhideWhenUsed/>
    <w:qFormat/>
    <w:pPr>
      <w:keepNext/>
      <w:spacing w:before="240" w:after="60"/>
      <w:outlineLvl w:val="2"/>
    </w:pPr>
    <w:rPr>
      <w:rFonts w:ascii="Arial" w:eastAsia="Times New Roman" w:hAnsi="Arial" w:cs="Arial"/>
      <w:b/>
      <w:bCs/>
      <w:sz w:val="26"/>
      <w:szCs w:val="26"/>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qFormat/>
    <w:rPr>
      <w:rFonts w:ascii="Tahoma" w:hAnsi="Tahoma" w:cs="Tahoma"/>
      <w:sz w:val="16"/>
      <w:szCs w:val="16"/>
    </w:rPr>
  </w:style>
  <w:style w:type="character" w:styleId="ReferensiKomentar">
    <w:name w:val="annotation reference"/>
    <w:uiPriority w:val="99"/>
    <w:qFormat/>
    <w:rPr>
      <w:sz w:val="18"/>
      <w:szCs w:val="18"/>
    </w:rPr>
  </w:style>
  <w:style w:type="paragraph" w:styleId="TeksKomentar">
    <w:name w:val="annotation text"/>
    <w:basedOn w:val="Normal"/>
    <w:link w:val="TeksKomentarKAR"/>
    <w:uiPriority w:val="99"/>
    <w:qFormat/>
    <w:rPr>
      <w:sz w:val="24"/>
      <w:szCs w:val="24"/>
    </w:rPr>
  </w:style>
  <w:style w:type="paragraph" w:styleId="SubjekKomentar">
    <w:name w:val="annotation subject"/>
    <w:basedOn w:val="TeksKomentar"/>
    <w:next w:val="TeksKomentar"/>
    <w:link w:val="SubjekKomentarKAR"/>
    <w:uiPriority w:val="99"/>
    <w:qFormat/>
    <w:rPr>
      <w:b/>
      <w:bCs/>
      <w:sz w:val="20"/>
      <w:szCs w:val="20"/>
    </w:rPr>
  </w:style>
  <w:style w:type="character" w:styleId="Penekanan">
    <w:name w:val="Emphasis"/>
    <w:qFormat/>
    <w:rPr>
      <w:i/>
      <w:iCs/>
    </w:rPr>
  </w:style>
  <w:style w:type="paragraph" w:styleId="TeksCatatanAkhir">
    <w:name w:val="endnote text"/>
    <w:basedOn w:val="Normal"/>
    <w:link w:val="TeksCatatanAkhirKAR"/>
    <w:uiPriority w:val="99"/>
    <w:qFormat/>
    <w:pPr>
      <w:autoSpaceDE/>
      <w:autoSpaceDN/>
      <w:adjustRightInd/>
      <w:jc w:val="left"/>
    </w:pPr>
    <w:rPr>
      <w:rFonts w:ascii="Times New Roman" w:eastAsia="Times New Roman"/>
      <w:color w:val="auto"/>
      <w:sz w:val="20"/>
      <w:szCs w:val="20"/>
      <w:lang w:eastAsia="id-ID"/>
    </w:rPr>
  </w:style>
  <w:style w:type="paragraph" w:styleId="Footer">
    <w:name w:val="footer"/>
    <w:basedOn w:val="Normal"/>
    <w:link w:val="FooterKAR"/>
    <w:uiPriority w:val="99"/>
    <w:qFormat/>
    <w:pPr>
      <w:tabs>
        <w:tab w:val="center" w:pos="4680"/>
        <w:tab w:val="right" w:pos="9360"/>
      </w:tabs>
    </w:pPr>
  </w:style>
  <w:style w:type="paragraph" w:styleId="Header">
    <w:name w:val="header"/>
    <w:basedOn w:val="Normal"/>
    <w:link w:val="HeaderKAR"/>
    <w:uiPriority w:val="99"/>
    <w:qFormat/>
    <w:pPr>
      <w:tabs>
        <w:tab w:val="center" w:pos="4680"/>
        <w:tab w:val="right" w:pos="9360"/>
      </w:tabs>
    </w:pPr>
  </w:style>
  <w:style w:type="character" w:styleId="Hyperlink">
    <w:name w:val="Hyperlink"/>
    <w:uiPriority w:val="99"/>
    <w:qFormat/>
    <w:rPr>
      <w:color w:val="0000FF"/>
      <w:u w:val="single"/>
    </w:rPr>
  </w:style>
  <w:style w:type="paragraph" w:styleId="NormalWeb">
    <w:name w:val="Normal (Web)"/>
    <w:basedOn w:val="Normal"/>
    <w:uiPriority w:val="99"/>
    <w:qFormat/>
    <w:pPr>
      <w:spacing w:before="288" w:after="288" w:line="288" w:lineRule="auto"/>
    </w:pPr>
    <w:rPr>
      <w:rFonts w:ascii="Times New Roman" w:eastAsia="Times New Roman"/>
      <w:sz w:val="24"/>
      <w:szCs w:val="24"/>
    </w:rPr>
  </w:style>
  <w:style w:type="character" w:styleId="Kuat">
    <w:name w:val="Strong"/>
    <w:qFormat/>
    <w:rPr>
      <w:b/>
      <w:bC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KisiTabel">
    <w:name w:val="Table Grid"/>
    <w:basedOn w:val="Tabel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Judul">
    <w:name w:val="Title"/>
    <w:basedOn w:val="Normal"/>
    <w:next w:val="Normal"/>
    <w:uiPriority w:val="10"/>
    <w:qFormat/>
    <w:pPr>
      <w:keepNext/>
      <w:keepLines/>
      <w:spacing w:before="480" w:after="120"/>
    </w:pPr>
    <w:rPr>
      <w:b/>
      <w:sz w:val="72"/>
      <w:szCs w:val="72"/>
    </w:rPr>
  </w:style>
  <w:style w:type="table" w:customStyle="1" w:styleId="TableNormal">
    <w:name w:val="TableNormal"/>
    <w:qFormat/>
    <w:tblPr>
      <w:tblCellMar>
        <w:top w:w="100" w:type="dxa"/>
        <w:left w:w="100" w:type="dxa"/>
        <w:bottom w:w="100" w:type="dxa"/>
        <w:right w:w="100" w:type="dxa"/>
      </w:tblCellMar>
    </w:tblPr>
  </w:style>
  <w:style w:type="character" w:customStyle="1" w:styleId="TeksBalonKAR">
    <w:name w:val="Teks Balon KAR"/>
    <w:link w:val="TeksBalon"/>
    <w:uiPriority w:val="99"/>
    <w:qFormat/>
    <w:rPr>
      <w:rFonts w:ascii="Tahoma" w:hAnsi="Tahoma" w:cs="Tahoma"/>
      <w:sz w:val="16"/>
      <w:szCs w:val="16"/>
    </w:rPr>
  </w:style>
  <w:style w:type="character" w:customStyle="1" w:styleId="Judul3KAR">
    <w:name w:val="Judul 3 KAR"/>
    <w:link w:val="Judul3"/>
    <w:qFormat/>
    <w:rPr>
      <w:rFonts w:ascii="Arial" w:eastAsia="Times New Roman" w:hAnsi="Arial" w:cs="Arial"/>
      <w:b/>
      <w:bCs/>
      <w:sz w:val="26"/>
      <w:szCs w:val="26"/>
    </w:rPr>
  </w:style>
  <w:style w:type="character" w:customStyle="1" w:styleId="Judul2KAR">
    <w:name w:val="Judul 2 KAR"/>
    <w:link w:val="Judul2"/>
    <w:qFormat/>
    <w:rPr>
      <w:rFonts w:ascii="Arial" w:eastAsia="Times New Roman" w:hAnsi="Arial" w:cs="Arial"/>
      <w:b/>
      <w:bCs/>
      <w:i/>
      <w:iCs/>
      <w:sz w:val="28"/>
      <w:szCs w:val="28"/>
    </w:rPr>
  </w:style>
  <w:style w:type="character" w:customStyle="1" w:styleId="HeaderKAR">
    <w:name w:val="Header KAR"/>
    <w:basedOn w:val="FontParagrafDefault"/>
    <w:link w:val="Header"/>
    <w:uiPriority w:val="99"/>
    <w:qFormat/>
  </w:style>
  <w:style w:type="character" w:customStyle="1" w:styleId="FooterKAR">
    <w:name w:val="Footer KAR"/>
    <w:basedOn w:val="FontParagrafDefault"/>
    <w:link w:val="Footer"/>
    <w:uiPriority w:val="99"/>
    <w:qFormat/>
  </w:style>
  <w:style w:type="paragraph" w:customStyle="1" w:styleId="Default">
    <w:name w:val="Default"/>
    <w:qFormat/>
    <w:pPr>
      <w:autoSpaceDE w:val="0"/>
      <w:autoSpaceDN w:val="0"/>
      <w:adjustRightInd w:val="0"/>
      <w:jc w:val="both"/>
    </w:pPr>
    <w:rPr>
      <w:rFonts w:ascii="Palatino" w:eastAsia="Times New Roman" w:hAnsi="Palatino" w:cs="Palatino"/>
      <w:color w:val="000000"/>
      <w:sz w:val="24"/>
      <w:szCs w:val="24"/>
      <w:lang w:val="id-ID" w:eastAsia="zh-CN" w:bidi="bn-IN"/>
    </w:rPr>
  </w:style>
  <w:style w:type="paragraph" w:customStyle="1" w:styleId="HO">
    <w:name w:val="HO"/>
    <w:basedOn w:val="Default"/>
    <w:next w:val="Default"/>
    <w:uiPriority w:val="99"/>
    <w:qFormat/>
    <w:rPr>
      <w:rFonts w:cs="Times New Roman"/>
      <w:color w:val="auto"/>
    </w:rPr>
  </w:style>
  <w:style w:type="paragraph" w:customStyle="1" w:styleId="NO">
    <w:name w:val="NO"/>
    <w:basedOn w:val="Default"/>
    <w:next w:val="Default"/>
    <w:uiPriority w:val="99"/>
    <w:qFormat/>
    <w:rPr>
      <w:rFonts w:cs="Times New Roman"/>
      <w:color w:val="auto"/>
    </w:rPr>
  </w:style>
  <w:style w:type="paragraph" w:customStyle="1" w:styleId="GO">
    <w:name w:val="GO"/>
    <w:basedOn w:val="Default"/>
    <w:next w:val="Default"/>
    <w:uiPriority w:val="99"/>
    <w:qFormat/>
    <w:rPr>
      <w:rFonts w:cs="Times New Roman"/>
      <w:color w:val="auto"/>
    </w:rPr>
  </w:style>
  <w:style w:type="paragraph" w:customStyle="1" w:styleId="ColorfulList-Accent11">
    <w:name w:val="Colorful List - Accent 11"/>
    <w:basedOn w:val="Normal"/>
    <w:uiPriority w:val="34"/>
    <w:qFormat/>
    <w:pPr>
      <w:ind w:left="720"/>
      <w:contextualSpacing/>
    </w:pPr>
    <w:rPr>
      <w:rFonts w:ascii="Times New Roman" w:eastAsia="Times New Roman"/>
      <w:sz w:val="24"/>
      <w:szCs w:val="24"/>
    </w:rPr>
  </w:style>
  <w:style w:type="paragraph" w:customStyle="1" w:styleId="Pa8">
    <w:name w:val="Pa8"/>
    <w:basedOn w:val="Default"/>
    <w:next w:val="Default"/>
    <w:uiPriority w:val="99"/>
    <w:qFormat/>
    <w:pPr>
      <w:spacing w:line="201" w:lineRule="atLeast"/>
    </w:pPr>
    <w:rPr>
      <w:rFonts w:ascii="Times New Roman" w:hAnsi="Times New Roman" w:cs="Times New Roman"/>
      <w:color w:val="auto"/>
    </w:rPr>
  </w:style>
  <w:style w:type="character" w:customStyle="1" w:styleId="A0">
    <w:name w:val="A0"/>
    <w:uiPriority w:val="99"/>
    <w:qFormat/>
    <w:rPr>
      <w:color w:val="000000"/>
      <w:sz w:val="18"/>
      <w:szCs w:val="18"/>
    </w:rPr>
  </w:style>
  <w:style w:type="character" w:customStyle="1" w:styleId="TeksKomentarKAR">
    <w:name w:val="Teks Komentar KAR"/>
    <w:link w:val="TeksKomentar"/>
    <w:uiPriority w:val="99"/>
    <w:qFormat/>
    <w:rPr>
      <w:rFonts w:ascii="TimesNewRomanPSMT" w:eastAsia="TimesNewRomanPSMT"/>
      <w:color w:val="000000"/>
      <w:sz w:val="24"/>
      <w:szCs w:val="24"/>
    </w:rPr>
  </w:style>
  <w:style w:type="character" w:customStyle="1" w:styleId="SubjekKomentarKAR">
    <w:name w:val="Subjek Komentar KAR"/>
    <w:link w:val="SubjekKomentar"/>
    <w:uiPriority w:val="99"/>
    <w:qFormat/>
    <w:rPr>
      <w:rFonts w:ascii="TimesNewRomanPSMT" w:eastAsia="TimesNewRomanPSMT"/>
      <w:b/>
      <w:bCs/>
      <w:color w:val="000000"/>
      <w:sz w:val="24"/>
      <w:szCs w:val="24"/>
    </w:rPr>
  </w:style>
  <w:style w:type="paragraph" w:styleId="DaftarParagraf">
    <w:name w:val="List Paragraph"/>
    <w:basedOn w:val="Normal"/>
    <w:link w:val="DaftarParagrafKAR"/>
    <w:uiPriority w:val="34"/>
    <w:qFormat/>
    <w:pPr>
      <w:ind w:left="720"/>
      <w:contextualSpacing/>
    </w:pPr>
  </w:style>
  <w:style w:type="paragraph" w:customStyle="1" w:styleId="Revision1">
    <w:name w:val="Revision1"/>
    <w:uiPriority w:val="99"/>
    <w:qFormat/>
    <w:pPr>
      <w:jc w:val="both"/>
    </w:pPr>
    <w:rPr>
      <w:rFonts w:ascii="TimesNewRomanPSMT" w:eastAsia="TimesNewRomanPSMT"/>
      <w:color w:val="000000"/>
      <w:sz w:val="22"/>
      <w:szCs w:val="22"/>
      <w:lang w:val="id-ID" w:eastAsia="zh-CN" w:bidi="bn-IN"/>
    </w:rPr>
  </w:style>
  <w:style w:type="character" w:customStyle="1" w:styleId="apple-converted-space">
    <w:name w:val="apple-converted-space"/>
    <w:basedOn w:val="FontParagrafDefault"/>
    <w:qFormat/>
  </w:style>
  <w:style w:type="paragraph" w:styleId="TidakAdaSpasi">
    <w:name w:val="No Spacing"/>
    <w:uiPriority w:val="1"/>
    <w:qFormat/>
    <w:pPr>
      <w:jc w:val="both"/>
    </w:pPr>
    <w:rPr>
      <w:rFonts w:cs="Calibri"/>
      <w:sz w:val="22"/>
      <w:szCs w:val="22"/>
      <w:lang w:val="id-ID" w:eastAsia="id-ID" w:bidi="bn-IN"/>
    </w:rPr>
  </w:style>
  <w:style w:type="character" w:customStyle="1" w:styleId="TeksCatatanAkhirKAR">
    <w:name w:val="Teks Catatan Akhir KAR"/>
    <w:basedOn w:val="FontParagrafDefault"/>
    <w:link w:val="TeksCatatanAkhir"/>
    <w:uiPriority w:val="99"/>
    <w:qFormat/>
    <w:rPr>
      <w:rFonts w:ascii="Times New Roman" w:hAnsi="Times New Roman"/>
      <w:lang w:val="id-ID" w:eastAsia="id-ID"/>
    </w:rPr>
  </w:style>
  <w:style w:type="table" w:customStyle="1" w:styleId="2">
    <w:name w:val="2"/>
    <w:basedOn w:val="TabelNormal"/>
    <w:qFormat/>
    <w:tblPr/>
  </w:style>
  <w:style w:type="table" w:customStyle="1" w:styleId="1">
    <w:name w:val="1"/>
    <w:basedOn w:val="TabelNormal"/>
    <w:qFormat/>
    <w:tblPr>
      <w:tblCellMar>
        <w:left w:w="115" w:type="dxa"/>
        <w:right w:w="115" w:type="dxa"/>
      </w:tblCellMar>
    </w:tblPr>
  </w:style>
  <w:style w:type="table" w:customStyle="1" w:styleId="Style45">
    <w:name w:val="_Style 45"/>
    <w:basedOn w:val="TabelNormal"/>
    <w:qFormat/>
    <w:tblPr>
      <w:tblCellMar>
        <w:left w:w="115" w:type="dxa"/>
        <w:right w:w="115" w:type="dxa"/>
      </w:tblCellMar>
    </w:tblPr>
  </w:style>
  <w:style w:type="character" w:customStyle="1" w:styleId="UnresolvedMention1">
    <w:name w:val="Unresolved Mention1"/>
    <w:basedOn w:val="FontParagrafDefault"/>
    <w:uiPriority w:val="99"/>
    <w:semiHidden/>
    <w:unhideWhenUsed/>
    <w:qFormat/>
    <w:rPr>
      <w:color w:val="605E5C"/>
      <w:shd w:val="clear" w:color="auto" w:fill="E1DFDD"/>
    </w:rPr>
  </w:style>
  <w:style w:type="character" w:customStyle="1" w:styleId="DaftarParagrafKAR">
    <w:name w:val="Daftar Paragraf KAR"/>
    <w:link w:val="DaftarParagraf"/>
    <w:uiPriority w:val="34"/>
    <w:qFormat/>
    <w:locked/>
    <w:rPr>
      <w:rFonts w:ascii="TimesNewRomanPSMT" w:eastAsia="TimesNewRomanPSMT"/>
      <w:color w:val="000000"/>
    </w:rPr>
  </w:style>
  <w:style w:type="character" w:styleId="Tempatpenampungteks">
    <w:name w:val="Placeholder Text"/>
    <w:basedOn w:val="FontParagrafDefault"/>
    <w:uiPriority w:val="99"/>
    <w:semiHidden/>
    <w:qFormat/>
    <w:rPr>
      <w:color w:val="666666"/>
    </w:rPr>
  </w:style>
  <w:style w:type="paragraph" w:styleId="Revisi">
    <w:name w:val="Revision"/>
    <w:hidden/>
    <w:uiPriority w:val="99"/>
    <w:unhideWhenUsed/>
    <w:rsid w:val="00181BDB"/>
    <w:rPr>
      <w:rFonts w:ascii="TimesNewRomanPSMT" w:eastAsia="TimesNewRomanPSMT"/>
      <w:color w:val="000000"/>
      <w:sz w:val="22"/>
      <w:szCs w:val="28"/>
      <w:lang w:val="id-ID" w:eastAsia="zh-CN"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creativecommons.org/licenses/by-sa/4.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0557317-2C0B-C94E-9577-EA930DAF8C37}"/>
      </w:docPartPr>
      <w:docPartBody>
        <w:p w:rsidR="008D1705" w:rsidRDefault="008D1705">
          <w:r>
            <w:rPr>
              <w:rStyle w:val="Tempatpenampungteks"/>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6D34" w:rsidRDefault="00136D34">
      <w:pPr>
        <w:spacing w:line="240" w:lineRule="auto"/>
      </w:pPr>
      <w:r>
        <w:separator/>
      </w:r>
    </w:p>
  </w:endnote>
  <w:endnote w:type="continuationSeparator" w:id="0">
    <w:p w:rsidR="00136D34" w:rsidRDefault="00136D34">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6D34" w:rsidRDefault="00136D34">
      <w:pPr>
        <w:spacing w:after="0"/>
      </w:pPr>
      <w:r>
        <w:separator/>
      </w:r>
    </w:p>
  </w:footnote>
  <w:footnote w:type="continuationSeparator" w:id="0">
    <w:p w:rsidR="00136D34" w:rsidRDefault="00136D34">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3"/>
    <w:rsid w:val="00136D34"/>
    <w:rsid w:val="002A7E74"/>
    <w:rsid w:val="003B55B3"/>
    <w:rsid w:val="005B1762"/>
    <w:rsid w:val="00774673"/>
    <w:rsid w:val="00833877"/>
    <w:rsid w:val="00887659"/>
    <w:rsid w:val="008D1705"/>
    <w:rsid w:val="008E021E"/>
    <w:rsid w:val="00A668A9"/>
    <w:rsid w:val="00A97689"/>
    <w:rsid w:val="00F044BF"/>
    <w:rsid w:val="00F65D14"/>
    <w:rsid w:val="00F74E6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zh-CN" w:eastAsia="en-US"/>
      <w14:ligatures w14:val="standardContextua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pC/jVvRPuYN4U3O8NndXp623Gw==">CgMxLjAyCWguMzBqMHpsbDIJaC4xZm9iOXRlMghoLmdqZGd4czgAciExcmEwNS1nLTY3OEVIRkN4dWxnUWxTS2YtQU4tUU9Jazk=</go:docsCustomData>
</go:gDocsCustomXmlDataStorage>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4CC1281-5DFD-4AAF-96F1-DF7E7A6DF9E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10155</Words>
  <Characters>57889</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Feb 671</cp:lastModifiedBy>
  <cp:revision>4</cp:revision>
  <dcterms:created xsi:type="dcterms:W3CDTF">2025-12-26T03:27:00Z</dcterms:created>
  <dcterms:modified xsi:type="dcterms:W3CDTF">2025-12-26T03:27:00Z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BB64BDFD08C54BCBA6B59284D4829475_13</vt:lpwstr>
  </property>
  <property fmtid="{D5CDD505-2E9C-101B-9397-08002B2CF9AE}" pid="3" name="GrammarlyDocumentId">
    <vt:lpwstr>db3c8102-0939-4130-8975-180054598411</vt:lpwstr>
  </property>
  <property fmtid="{D5CDD505-2E9C-101B-9397-08002B2CF9AE}" pid="4" name="KSOProductBuildVer">
    <vt:lpwstr>1033-12.2.0.21931</vt:lpwstr>
  </property>
</Properties>
</file>